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360" w:lineRule="exact"/>
        <w:ind w:firstLine="709" w:left="0"/>
        <w:jc w:val="right"/>
        <w:rPr>
          <w:color w:val="000000"/>
          <w:sz w:val="26"/>
        </w:rPr>
      </w:pPr>
      <w:r>
        <w:rPr>
          <w:color w:val="000000"/>
          <w:sz w:val="26"/>
        </w:rPr>
        <w:t>Проект</w:t>
      </w:r>
    </w:p>
    <w:p w14:paraId="02000000">
      <w:pPr>
        <w:spacing w:after="0" w:line="360" w:lineRule="exact"/>
        <w:ind w:firstLine="709" w:left="0"/>
        <w:jc w:val="right"/>
        <w:rPr>
          <w:color w:val="000000"/>
          <w:sz w:val="26"/>
        </w:rPr>
      </w:pPr>
    </w:p>
    <w:p w14:paraId="03000000">
      <w:pPr>
        <w:spacing w:after="0" w:line="360" w:lineRule="exact"/>
        <w:ind w:firstLine="709" w:left="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ПРАВИТЕЛЬСТВО РЕСПУБЛИКИ САХА (ЯКУТИЯ)</w:t>
      </w:r>
    </w:p>
    <w:p w14:paraId="04000000">
      <w:pPr>
        <w:spacing w:after="0" w:line="360" w:lineRule="exact"/>
        <w:ind w:firstLine="709" w:left="0"/>
        <w:jc w:val="center"/>
        <w:rPr>
          <w:color w:val="000000"/>
          <w:sz w:val="28"/>
        </w:rPr>
      </w:pPr>
    </w:p>
    <w:p w14:paraId="05000000">
      <w:pPr>
        <w:spacing w:after="0" w:line="360" w:lineRule="exact"/>
        <w:ind w:firstLine="709" w:left="0"/>
        <w:jc w:val="center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>ПОСТАНОВЛЕНИЕ</w:t>
      </w:r>
    </w:p>
    <w:p w14:paraId="06000000">
      <w:pPr>
        <w:spacing w:after="0" w:line="360" w:lineRule="exact"/>
        <w:ind w:firstLine="709" w:left="0"/>
        <w:jc w:val="center"/>
        <w:rPr>
          <w:color w:val="000000"/>
          <w:sz w:val="28"/>
        </w:rPr>
      </w:pPr>
    </w:p>
    <w:p w14:paraId="07000000">
      <w:pPr>
        <w:pStyle w:val="Style_1"/>
        <w:ind/>
        <w:jc w:val="center"/>
        <w:rPr>
          <w:rFonts w:ascii="XO Thames" w:hAnsi="XO Thames"/>
          <w:sz w:val="28"/>
        </w:rPr>
      </w:pPr>
      <w:r>
        <w:rPr>
          <w:rFonts w:ascii="XO Thames" w:hAnsi="XO Thames"/>
          <w:color w:val="000000"/>
          <w:sz w:val="28"/>
        </w:rPr>
        <w:t>от «___» ___________ 2022</w:t>
      </w:r>
      <w:r>
        <w:rPr>
          <w:rFonts w:ascii="XO Thames" w:hAnsi="XO Thames"/>
          <w:color w:val="000000"/>
          <w:sz w:val="28"/>
        </w:rPr>
        <w:t xml:space="preserve"> г. № _____</w:t>
      </w:r>
    </w:p>
    <w:p w14:paraId="08000000">
      <w:pPr>
        <w:pStyle w:val="Style_2"/>
        <w:spacing w:line="360" w:lineRule="exact"/>
        <w:ind/>
        <w:jc w:val="center"/>
        <w:rPr>
          <w:rFonts w:ascii="XO Thames" w:hAnsi="XO Thames"/>
          <w:sz w:val="28"/>
        </w:rPr>
      </w:pPr>
    </w:p>
    <w:p w14:paraId="09000000">
      <w:pPr>
        <w:pStyle w:val="Style_2"/>
        <w:spacing w:line="360" w:lineRule="exact"/>
        <w:ind/>
        <w:jc w:val="center"/>
        <w:rPr>
          <w:sz w:val="28"/>
        </w:rPr>
      </w:pPr>
    </w:p>
    <w:p w14:paraId="0A000000">
      <w:pPr>
        <w:pStyle w:val="Style_2"/>
        <w:spacing w:line="360" w:lineRule="exact"/>
        <w:ind/>
        <w:jc w:val="center"/>
        <w:rPr>
          <w:sz w:val="28"/>
        </w:rPr>
      </w:pPr>
    </w:p>
    <w:p w14:paraId="0B000000">
      <w:pPr>
        <w:pStyle w:val="Style_2"/>
        <w:spacing w:line="360" w:lineRule="exact"/>
        <w:ind/>
        <w:jc w:val="center"/>
        <w:rPr>
          <w:sz w:val="28"/>
        </w:rPr>
      </w:pPr>
    </w:p>
    <w:p w14:paraId="0C000000">
      <w:pPr>
        <w:pStyle w:val="Style_2"/>
        <w:spacing w:line="360" w:lineRule="exact"/>
        <w:ind/>
        <w:jc w:val="center"/>
      </w:pPr>
    </w:p>
    <w:p w14:paraId="0D000000">
      <w:pPr>
        <w:pStyle w:val="Style_2"/>
        <w:spacing w:line="360" w:lineRule="exact"/>
        <w:ind/>
        <w:jc w:val="center"/>
      </w:pPr>
      <w:r>
        <w:rPr>
          <w:b w:val="1"/>
          <w:sz w:val="28"/>
        </w:rPr>
        <w:t xml:space="preserve">«О внесении изменений в постановление </w:t>
      </w:r>
      <w:r>
        <w:rPr>
          <w:b w:val="1"/>
          <w:sz w:val="28"/>
        </w:rPr>
        <w:t xml:space="preserve">Правительства </w:t>
      </w:r>
    </w:p>
    <w:p w14:paraId="0E000000">
      <w:pPr>
        <w:pStyle w:val="Style_2"/>
        <w:spacing w:line="360" w:lineRule="exact"/>
        <w:ind/>
        <w:jc w:val="center"/>
      </w:pPr>
      <w:r>
        <w:rPr>
          <w:b w:val="1"/>
          <w:sz w:val="28"/>
        </w:rPr>
        <w:t xml:space="preserve">Республики </w:t>
      </w:r>
      <w:r>
        <w:rPr>
          <w:b w:val="1"/>
          <w:sz w:val="28"/>
        </w:rPr>
        <w:t xml:space="preserve"> Саха (Якутия) от 30 августа 2022 года </w:t>
      </w:r>
      <w:r>
        <w:rPr>
          <w:b w:val="1"/>
          <w:sz w:val="28"/>
        </w:rPr>
        <w:t>№</w:t>
      </w:r>
      <w:r>
        <w:rPr>
          <w:b w:val="1"/>
          <w:sz w:val="28"/>
        </w:rPr>
        <w:t>518</w:t>
      </w:r>
    </w:p>
    <w:p w14:paraId="0F000000">
      <w:pPr>
        <w:pStyle w:val="Style_2"/>
        <w:spacing w:line="360" w:lineRule="exact"/>
        <w:ind/>
        <w:jc w:val="center"/>
      </w:pPr>
      <w:r>
        <w:rPr>
          <w:b w:val="1"/>
          <w:sz w:val="28"/>
        </w:rPr>
        <w:t xml:space="preserve"> «Об утверждении Положения об оплате труда работников государственных учреждений, подведомственных Министерству </w:t>
      </w:r>
    </w:p>
    <w:p w14:paraId="10000000">
      <w:pPr>
        <w:pStyle w:val="Style_2"/>
        <w:spacing w:line="360" w:lineRule="exact"/>
        <w:ind/>
        <w:jc w:val="center"/>
      </w:pPr>
      <w:r>
        <w:rPr>
          <w:b w:val="1"/>
          <w:sz w:val="28"/>
        </w:rPr>
        <w:t xml:space="preserve">образования </w:t>
      </w:r>
      <w:r>
        <w:rPr>
          <w:b w:val="1"/>
          <w:sz w:val="28"/>
        </w:rPr>
        <w:t>и науки Республики Саха (Якутия)»</w:t>
      </w:r>
    </w:p>
    <w:p w14:paraId="11000000">
      <w:pPr>
        <w:pStyle w:val="Style_2"/>
        <w:spacing w:line="360" w:lineRule="exact"/>
        <w:ind/>
        <w:jc w:val="center"/>
        <w:rPr>
          <w:b w:val="1"/>
          <w:sz w:val="28"/>
        </w:rPr>
      </w:pPr>
    </w:p>
    <w:p w14:paraId="12000000">
      <w:pPr>
        <w:pStyle w:val="Style_2"/>
        <w:spacing w:line="360" w:lineRule="exact"/>
        <w:ind w:firstLine="709" w:left="0" w:right="0"/>
        <w:jc w:val="both"/>
      </w:pPr>
      <w:r>
        <w:rPr>
          <w:sz w:val="28"/>
        </w:rPr>
        <w:t>В соответствии со статьей 144 Трудового кодекса Российской Федерации,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постановлением Правительства Республики Саха (Якутия) от 11</w:t>
      </w:r>
      <w:r>
        <w:rPr>
          <w:color w:val="000000"/>
          <w:sz w:val="28"/>
        </w:rPr>
        <w:t xml:space="preserve"> февраля 2023 года № 53 </w:t>
      </w:r>
      <w:r>
        <w:rPr>
          <w:sz w:val="28"/>
        </w:rPr>
        <w:t>«Об увеличении фонда оплаты труда отдельных категорий работников бюджетной сферы Республики Саха (Якутия) в 2023 году», Правительство Республики Саха (Якутия) п о с т а н о в л я е т:</w:t>
      </w:r>
    </w:p>
    <w:p w14:paraId="13000000">
      <w:pPr>
        <w:pStyle w:val="Style_2"/>
        <w:spacing w:line="360" w:lineRule="exact"/>
        <w:ind w:firstLine="709" w:left="0" w:right="0"/>
        <w:jc w:val="both"/>
        <w:rPr>
          <w:sz w:val="28"/>
        </w:rPr>
      </w:pPr>
      <w:r>
        <w:rPr>
          <w:sz w:val="28"/>
        </w:rPr>
        <w:t>1. Внести в постановление Правительства Республики Саха (Якутия) от 30 августа 2022 года №518 «Об утверждении Положения об оплате труда работников го</w:t>
      </w:r>
      <w:r>
        <w:rPr>
          <w:sz w:val="28"/>
        </w:rPr>
        <w:t>сударственных учреждений, подведомственных Министерству образования и н</w:t>
      </w:r>
      <w:r>
        <w:rPr>
          <w:sz w:val="28"/>
        </w:rPr>
        <w:t>ауки Республики Саха (Якутия)» следующие изменения:</w:t>
      </w:r>
    </w:p>
    <w:p w14:paraId="14000000">
      <w:pPr>
        <w:pStyle w:val="Style_2"/>
        <w:numPr>
          <w:numId w:val="1"/>
        </w:numPr>
        <w:spacing w:line="360" w:lineRule="exact"/>
        <w:ind w:firstLine="709" w:left="0" w:right="0"/>
        <w:jc w:val="both"/>
        <w:rPr>
          <w:sz w:val="28"/>
        </w:rPr>
      </w:pPr>
      <w:r>
        <w:rPr>
          <w:color w:val="000000"/>
          <w:sz w:val="28"/>
          <w:u w:val="none"/>
        </w:rPr>
        <w:t>Абзац второй пункта 5</w:t>
      </w:r>
      <w:r>
        <w:rPr>
          <w:sz w:val="28"/>
        </w:rPr>
        <w:t xml:space="preserve"> изложить в редакции:</w:t>
      </w:r>
    </w:p>
    <w:p w14:paraId="15000000">
      <w:pPr>
        <w:pStyle w:val="Style_2"/>
        <w:spacing w:line="360" w:lineRule="exact"/>
        <w:ind w:firstLine="709" w:left="0" w:right="0"/>
        <w:jc w:val="both"/>
      </w:pPr>
      <w:r>
        <w:rPr>
          <w:color w:val="000000"/>
          <w:sz w:val="28"/>
          <w:u w:val="none"/>
        </w:rPr>
        <w:t xml:space="preserve">Установить, что действие подпунктов 3.1.1., 3.1.2., 4.1., 5.1, 6.1. настоящего </w:t>
      </w:r>
      <w:r>
        <w:rPr>
          <w:color w:val="000000"/>
          <w:sz w:val="28"/>
          <w:u w:val="none"/>
        </w:rPr>
        <w:t>По</w:t>
      </w:r>
      <w:r>
        <w:rPr>
          <w:color w:val="000000"/>
          <w:sz w:val="28"/>
          <w:u w:val="none"/>
        </w:rPr>
        <w:t>ложения об оплате труда работников учреждений, подведомственных Министерству образования и науки Республики Саха (Якутия) распространяются на правоотношения, возникшие с 1 января 2023 года</w:t>
      </w:r>
      <w:r>
        <w:rPr>
          <w:rStyle w:val="Style_3_ch"/>
          <w:color w:val="000000"/>
          <w:sz w:val="28"/>
          <w:u w:val="none"/>
        </w:rPr>
        <w:fldChar w:fldCharType="begin"/>
      </w:r>
      <w:r>
        <w:rPr>
          <w:rStyle w:val="Style_3_ch"/>
          <w:color w:val="000000"/>
          <w:sz w:val="28"/>
          <w:u w:val="none"/>
        </w:rPr>
        <w:instrText>HYPERLINK "consultantplus://offline/ref=468A20A126164E7F99F63D4E03FD0256AC9339A7C871892AE9F43290A85FFEB869AEBB61A25F3A8F524497166C0619B2C790AA74AAB44D8A6FEBE73BZ7H"</w:instrText>
      </w:r>
      <w:r>
        <w:rPr>
          <w:rStyle w:val="Style_3_ch"/>
          <w:color w:val="000000"/>
          <w:sz w:val="28"/>
          <w:u w:val="none"/>
        </w:rPr>
        <w:fldChar w:fldCharType="separate"/>
      </w:r>
      <w:r>
        <w:rPr>
          <w:rStyle w:val="Style_3_ch"/>
          <w:color w:val="000000"/>
          <w:sz w:val="28"/>
          <w:u w:val="none"/>
        </w:rPr>
        <w:t>».</w:t>
      </w:r>
      <w:r>
        <w:rPr>
          <w:rStyle w:val="Style_3_ch"/>
          <w:color w:val="000000"/>
          <w:sz w:val="28"/>
          <w:u w:val="none"/>
        </w:rPr>
        <w:fldChar w:fldCharType="end"/>
      </w:r>
    </w:p>
    <w:p w14:paraId="16000000">
      <w:pPr>
        <w:pStyle w:val="Style_2"/>
        <w:spacing w:line="360" w:lineRule="exact"/>
        <w:ind w:firstLine="709" w:left="0" w:right="0"/>
        <w:jc w:val="both"/>
        <w:rPr>
          <w:rFonts w:ascii="XO Thames" w:hAnsi="XO Thames"/>
          <w:sz w:val="28"/>
        </w:rPr>
      </w:pPr>
      <w:r>
        <w:rPr>
          <w:color w:val="000000"/>
          <w:sz w:val="28"/>
        </w:rPr>
        <w:t>б)</w:t>
      </w:r>
      <w:r>
        <w:rPr>
          <w:color w:val="000000"/>
          <w:sz w:val="28"/>
        </w:rPr>
        <w:t xml:space="preserve"> В</w:t>
      </w:r>
      <w:r>
        <w:rPr>
          <w:color w:val="000000"/>
          <w:sz w:val="28"/>
        </w:rPr>
        <w:t xml:space="preserve"> Положение об оплате труда работников государственных учреждений, подведомственных Министерству образования и науки Республики Саха (Якутия), утвержденный постановлением Правительства Республики Саха (Якутия) от 30 августа 2022 года №518 «Об утверждении Положения об оплате труда работников государственных учреждений, подведомственных Министерству образования и науки Республики Саха (Якутия)»:</w:t>
      </w:r>
    </w:p>
    <w:p w14:paraId="17000000">
      <w:pPr>
        <w:pStyle w:val="Style_2"/>
        <w:spacing w:line="360" w:lineRule="exact"/>
        <w:ind w:firstLine="709" w:left="0" w:right="0"/>
        <w:jc w:val="both"/>
        <w:rPr>
          <w:color w:val="000000"/>
          <w:sz w:val="20"/>
        </w:rPr>
      </w:pPr>
      <w:r>
        <w:rPr>
          <w:color w:val="000000"/>
          <w:sz w:val="28"/>
        </w:rPr>
        <w:t>Пункт 3.1 после таблицы изложить примечанием следующего содержания: «</w:t>
      </w:r>
      <w:r>
        <w:rPr>
          <w:color w:val="000000"/>
          <w:sz w:val="28"/>
        </w:rPr>
        <w:t>Примечание: Размеры окладов ПКГ «Педагогические работники» применяются для</w:t>
      </w:r>
      <w:r>
        <w:rPr>
          <w:color w:val="000000"/>
          <w:sz w:val="28"/>
        </w:rPr>
        <w:t xml:space="preserve"> </w:t>
      </w:r>
      <w:r>
        <w:rPr>
          <w:sz w:val="28"/>
        </w:rPr>
        <w:t xml:space="preserve">педагогических работников, не относящихся к целевым категориям». </w:t>
      </w:r>
    </w:p>
    <w:p w14:paraId="18000000">
      <w:pPr>
        <w:pStyle w:val="Style_2"/>
        <w:spacing w:line="360" w:lineRule="exact"/>
        <w:ind w:firstLine="709" w:left="0" w:right="0"/>
        <w:jc w:val="both"/>
        <w:rPr>
          <w:color w:val="000000"/>
          <w:sz w:val="20"/>
        </w:rPr>
      </w:pPr>
      <w:r>
        <w:rPr>
          <w:rStyle w:val="Style_3_ch"/>
          <w:color w:val="000000"/>
          <w:sz w:val="28"/>
          <w:u w:val="none"/>
        </w:rPr>
        <w:fldChar w:fldCharType="begin"/>
      </w:r>
      <w:r>
        <w:rPr>
          <w:rStyle w:val="Style_3_ch"/>
          <w:color w:val="000000"/>
          <w:sz w:val="28"/>
          <w:u w:val="none"/>
        </w:rPr>
        <w:instrText>HYPERLINK "consultantplus://offline/ref=468A20A126164E7F99F63D4E03FD0256AC9339A7C871892AE9F43290A85FFEB869AEBB61A25F3A8F524497166C0619B2C790AA74AAB44D8A6FEBE73BZ7H"</w:instrText>
      </w:r>
      <w:r>
        <w:rPr>
          <w:rStyle w:val="Style_3_ch"/>
          <w:color w:val="000000"/>
          <w:sz w:val="28"/>
          <w:u w:val="none"/>
        </w:rPr>
        <w:fldChar w:fldCharType="separate"/>
      </w:r>
      <w:r>
        <w:rPr>
          <w:rStyle w:val="Style_3_ch"/>
          <w:color w:val="000000"/>
          <w:sz w:val="28"/>
          <w:u w:val="none"/>
        </w:rPr>
        <w:t>в) Пункт</w:t>
      </w:r>
      <w:r>
        <w:rPr>
          <w:rStyle w:val="Style_3_ch"/>
          <w:color w:val="000000"/>
          <w:sz w:val="28"/>
          <w:u w:val="none"/>
        </w:rPr>
        <w:fldChar w:fldCharType="end"/>
      </w:r>
      <w:r>
        <w:rPr>
          <w:color w:val="000000"/>
          <w:sz w:val="28"/>
          <w:u w:val="none"/>
        </w:rPr>
        <w:t xml:space="preserve"> 3.1.1. изложить в следующей редакции:</w:t>
      </w:r>
    </w:p>
    <w:p w14:paraId="19000000">
      <w:pPr>
        <w:ind w:firstLine="709" w:left="0"/>
        <w:jc w:val="both"/>
        <w:rPr>
          <w:sz w:val="28"/>
        </w:rPr>
      </w:pPr>
      <w:r>
        <w:rPr>
          <w:sz w:val="28"/>
        </w:rPr>
        <w:t>«3.1.1. Размеры окладов педагогических работников, реализующих программы дошкольного образования устанавливаются в следующих размерах:</w:t>
      </w:r>
    </w:p>
    <w:p w14:paraId="1A000000">
      <w:pPr>
        <w:pStyle w:val="Style_2"/>
        <w:spacing w:line="360" w:lineRule="exact"/>
        <w:ind w:firstLine="709" w:left="0" w:right="0"/>
        <w:jc w:val="both"/>
        <w:rPr>
          <w:color w:val="000000"/>
          <w:sz w:val="28"/>
        </w:rPr>
      </w:pPr>
    </w:p>
    <w:tbl>
      <w:tblPr>
        <w:tblStyle w:val="Style_4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4"/>
      </w:tblGrid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B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C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Размер должностного оклада, рублей</w:t>
            </w:r>
          </w:p>
        </w:tc>
      </w:tr>
      <w:tr>
        <w:tc>
          <w:tcPr>
            <w:tcW w:type="dxa" w:w="1020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D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ПКГ «Педагогические работники»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E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1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F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9 149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0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2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1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9 696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2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3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3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10 243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4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4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5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10 791</w:t>
            </w:r>
          </w:p>
        </w:tc>
      </w:tr>
    </w:tbl>
    <w:p w14:paraId="26000000">
      <w:pPr>
        <w:pStyle w:val="Style_2"/>
        <w:spacing w:line="360" w:lineRule="exact"/>
        <w:ind w:firstLine="709" w:left="0" w:right="0"/>
        <w:jc w:val="both"/>
        <w:rPr>
          <w:color w:val="000000"/>
          <w:sz w:val="28"/>
        </w:rPr>
      </w:pPr>
    </w:p>
    <w:p w14:paraId="27000000">
      <w:pPr>
        <w:pStyle w:val="Style_2"/>
        <w:spacing w:line="360" w:lineRule="exact"/>
        <w:ind w:firstLine="709" w:left="0" w:right="0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  <w:u w:val="none"/>
        </w:rPr>
        <w:fldChar w:fldCharType="begin"/>
      </w:r>
      <w:r>
        <w:rPr>
          <w:rStyle w:val="Style_3_ch"/>
          <w:color w:val="000000"/>
          <w:sz w:val="28"/>
          <w:u w:val="none"/>
        </w:rPr>
        <w:instrText>HYPERLINK "consultantplus://offline/ref=468A20A126164E7F99F63D4E03FD0256AC9339A7C871892AE9F43290A85FFEB869AEBB61A25F3A8F524497166C0619B2C790AA74AAB44D8A6FEBE73BZ7H"</w:instrText>
      </w:r>
      <w:r>
        <w:rPr>
          <w:rStyle w:val="Style_3_ch"/>
          <w:color w:val="000000"/>
          <w:sz w:val="28"/>
          <w:u w:val="none"/>
        </w:rPr>
        <w:fldChar w:fldCharType="separate"/>
      </w:r>
      <w:r>
        <w:rPr>
          <w:rStyle w:val="Style_3_ch"/>
          <w:color w:val="000000"/>
          <w:sz w:val="28"/>
          <w:u w:val="none"/>
        </w:rPr>
        <w:t>г) В пункте 3.1.2.  после слов «общего образования» дополнить словами «</w:t>
      </w:r>
      <w:r>
        <w:rPr>
          <w:rStyle w:val="Style_3_ch"/>
          <w:color w:val="000000"/>
          <w:sz w:val="28"/>
          <w:u w:val="none"/>
        </w:rPr>
        <w:fldChar w:fldCharType="end"/>
      </w:r>
      <w:r>
        <w:rPr>
          <w:sz w:val="28"/>
        </w:rPr>
        <w:t>организаций дополнительного образования детей».</w:t>
      </w:r>
    </w:p>
    <w:p w14:paraId="28000000">
      <w:pPr>
        <w:pStyle w:val="Style_2"/>
        <w:spacing w:line="360" w:lineRule="exact"/>
        <w:ind w:firstLine="709" w:left="0" w:right="0"/>
        <w:jc w:val="both"/>
        <w:rPr>
          <w:color w:val="000000"/>
          <w:sz w:val="28"/>
        </w:rPr>
      </w:pPr>
      <w:r>
        <w:rPr>
          <w:rStyle w:val="Style_3_ch"/>
          <w:color w:val="000000"/>
          <w:sz w:val="28"/>
          <w:u w:val="none"/>
        </w:rPr>
        <w:fldChar w:fldCharType="begin"/>
      </w:r>
      <w:r>
        <w:rPr>
          <w:rStyle w:val="Style_3_ch"/>
          <w:color w:val="000000"/>
          <w:sz w:val="28"/>
          <w:u w:val="none"/>
        </w:rPr>
        <w:instrText>HYPERLINK "consultantplus://offline/ref=468A20A126164E7F99F63D4E03FD0256AC9339A7C871892AE9F43290A85FFEB869AEBB61A25F3A8F524497166C0619B2C790AA74AAB44D8A6FEBE73BZ7H"</w:instrText>
      </w:r>
      <w:r>
        <w:rPr>
          <w:rStyle w:val="Style_3_ch"/>
          <w:color w:val="000000"/>
          <w:sz w:val="28"/>
          <w:u w:val="none"/>
        </w:rPr>
        <w:fldChar w:fldCharType="separate"/>
      </w:r>
      <w:r>
        <w:rPr>
          <w:rStyle w:val="Style_3_ch"/>
          <w:color w:val="000000"/>
          <w:sz w:val="28"/>
          <w:u w:val="none"/>
        </w:rPr>
        <w:t>д) В п</w:t>
      </w:r>
      <w:r>
        <w:rPr>
          <w:rStyle w:val="Style_3_ch"/>
          <w:color w:val="000000"/>
          <w:sz w:val="28"/>
          <w:u w:val="none"/>
        </w:rPr>
        <w:t>ункте</w:t>
      </w:r>
      <w:r>
        <w:rPr>
          <w:rStyle w:val="Style_3_ch"/>
          <w:color w:val="000000"/>
          <w:sz w:val="28"/>
          <w:u w:val="none"/>
        </w:rPr>
        <w:fldChar w:fldCharType="end"/>
      </w:r>
      <w:r>
        <w:rPr>
          <w:color w:val="000000"/>
          <w:sz w:val="28"/>
          <w:u w:val="none"/>
        </w:rPr>
        <w:t xml:space="preserve"> 4.1. </w:t>
      </w:r>
      <w:r>
        <w:rPr>
          <w:sz w:val="28"/>
        </w:rPr>
        <w:t>размеры окладов работников, занимающих должности профессорско-преподавательского состава и руководителей структурных подразделений устанавливаются в следующих размерах:</w:t>
      </w:r>
    </w:p>
    <w:p w14:paraId="29000000">
      <w:pPr>
        <w:pStyle w:val="Style_2"/>
        <w:spacing w:line="360" w:lineRule="exact"/>
        <w:ind w:firstLine="709" w:left="0" w:right="0"/>
        <w:jc w:val="both"/>
      </w:pPr>
    </w:p>
    <w:tbl>
      <w:tblPr>
        <w:tblStyle w:val="Style_4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4"/>
      </w:tblGrid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A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B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 xml:space="preserve">Размер должностного оклада, </w:t>
            </w:r>
          </w:p>
          <w:p w14:paraId="2C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рублей</w:t>
            </w:r>
          </w:p>
        </w:tc>
      </w:tr>
      <w:tr>
        <w:tc>
          <w:tcPr>
            <w:tcW w:type="dxa" w:w="1020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D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ПКГ «Профессорско-преподавательский состав и руководители структурных подразделений»</w:t>
            </w:r>
          </w:p>
        </w:tc>
      </w:tr>
      <w:tr>
        <w:trPr>
          <w:trHeight w:hRule="atLeast" w:val="277"/>
          <w:hidden w:val="0"/>
        </w:trP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E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1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13 012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0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2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1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14 315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2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3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15 616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4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4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18 217</w:t>
            </w:r>
          </w:p>
        </w:tc>
      </w:tr>
      <w:tr>
        <w:trPr>
          <w:trHeight w:hRule="atLeast" w:val="280"/>
          <w:hidden w:val="0"/>
        </w:trP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6000000">
            <w:pPr>
              <w:pStyle w:val="Style_5"/>
              <w:ind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20 819</w:t>
            </w:r>
          </w:p>
        </w:tc>
      </w:tr>
    </w:tbl>
    <w:p w14:paraId="38000000">
      <w:pPr>
        <w:pStyle w:val="Style_2"/>
        <w:spacing w:line="360" w:lineRule="exact"/>
        <w:ind w:firstLine="709" w:left="0" w:right="0"/>
        <w:jc w:val="both"/>
      </w:pPr>
    </w:p>
    <w:p w14:paraId="39000000">
      <w:pPr>
        <w:pStyle w:val="Style_2"/>
        <w:spacing w:line="360" w:lineRule="exact"/>
        <w:ind w:firstLine="709" w:left="0" w:right="0"/>
        <w:jc w:val="both"/>
      </w:pPr>
      <w:r>
        <w:rPr>
          <w:rStyle w:val="Style_3_ch"/>
          <w:color w:val="000000"/>
          <w:sz w:val="28"/>
          <w:u w:val="none"/>
        </w:rPr>
        <w:fldChar w:fldCharType="begin"/>
      </w:r>
      <w:r>
        <w:rPr>
          <w:rStyle w:val="Style_3_ch"/>
          <w:color w:val="000000"/>
          <w:sz w:val="28"/>
          <w:u w:val="none"/>
        </w:rPr>
        <w:instrText>HYPERLINK "consultantplus://offline/ref=468A20A126164E7F99F63D4E03FD0256AC9339A7C871892AE9F43290A85FFEB869AEBB61A25F3A8F524497166C0619B2C790AA74AAB44D8A6FEBE73BZ7H"</w:instrText>
      </w:r>
      <w:r>
        <w:rPr>
          <w:rStyle w:val="Style_3_ch"/>
          <w:color w:val="000000"/>
          <w:sz w:val="28"/>
          <w:u w:val="none"/>
        </w:rPr>
        <w:fldChar w:fldCharType="separate"/>
      </w:r>
      <w:r>
        <w:rPr>
          <w:rStyle w:val="Style_3_ch"/>
          <w:color w:val="000000"/>
          <w:sz w:val="28"/>
          <w:u w:val="none"/>
        </w:rPr>
        <w:t>е) В п</w:t>
      </w:r>
      <w:r>
        <w:rPr>
          <w:rStyle w:val="Style_3_ch"/>
          <w:color w:val="000000"/>
          <w:sz w:val="28"/>
          <w:u w:val="none"/>
        </w:rPr>
        <w:t>ункте</w:t>
      </w:r>
      <w:r>
        <w:rPr>
          <w:rStyle w:val="Style_3_ch"/>
          <w:color w:val="000000"/>
          <w:sz w:val="28"/>
          <w:u w:val="none"/>
        </w:rPr>
        <w:fldChar w:fldCharType="end"/>
      </w:r>
      <w:r>
        <w:rPr>
          <w:color w:val="000000"/>
          <w:sz w:val="28"/>
          <w:u w:val="none"/>
        </w:rPr>
        <w:t xml:space="preserve"> 5.1. </w:t>
      </w:r>
      <w:r>
        <w:rPr>
          <w:sz w:val="28"/>
        </w:rPr>
        <w:t>размеры окладов работников, занимающих должности научных работников и руководителей структурных подразделений устанавливаются в следующих размерах:</w:t>
      </w:r>
    </w:p>
    <w:p w14:paraId="3A000000">
      <w:pPr>
        <w:pStyle w:val="Style_2"/>
        <w:spacing w:line="360" w:lineRule="exact"/>
        <w:ind w:firstLine="709" w:left="0" w:right="0"/>
        <w:jc w:val="both"/>
      </w:pPr>
    </w:p>
    <w:tbl>
      <w:tblPr>
        <w:tblStyle w:val="Style_4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4"/>
      </w:tblGrid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B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C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 xml:space="preserve">Размер должностного оклада, </w:t>
            </w:r>
          </w:p>
          <w:p w14:paraId="3D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рублей</w:t>
            </w:r>
          </w:p>
        </w:tc>
      </w:tr>
      <w:tr>
        <w:tc>
          <w:tcPr>
            <w:tcW w:type="dxa" w:w="1020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E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ПКГ «Н</w:t>
            </w:r>
            <w:r>
              <w:rPr>
                <w:sz w:val="28"/>
              </w:rPr>
              <w:t>аучные работники и руководителей структурных подразделений</w:t>
            </w:r>
            <w:r>
              <w:rPr>
                <w:color w:val="000000"/>
                <w:sz w:val="28"/>
              </w:rPr>
              <w:t>»</w:t>
            </w:r>
          </w:p>
        </w:tc>
      </w:tr>
      <w:tr>
        <w:trPr>
          <w:trHeight w:hRule="atLeast" w:val="277"/>
          <w:hidden w:val="0"/>
        </w:trP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3F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1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21 349</w:t>
            </w:r>
          </w:p>
        </w:tc>
      </w:tr>
      <w:tr>
        <w:trPr>
          <w:trHeight w:hRule="atLeast" w:val="285"/>
          <w:hidden w:val="0"/>
        </w:trP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1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2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2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22 266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3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3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23 181 </w:t>
            </w:r>
          </w:p>
        </w:tc>
      </w:tr>
      <w:t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5000000">
            <w:pPr>
              <w:pStyle w:val="Style_5"/>
              <w:ind/>
              <w:jc w:val="center"/>
            </w:pPr>
            <w:r>
              <w:rPr>
                <w:color w:val="000000"/>
                <w:sz w:val="28"/>
              </w:rPr>
              <w:t>4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6000000">
            <w:pPr>
              <w:ind/>
              <w:jc w:val="center"/>
            </w:pPr>
            <w:r>
              <w:rPr>
                <w:sz w:val="28"/>
              </w:rPr>
              <w:t>24 0</w:t>
            </w:r>
            <w:r>
              <w:t xml:space="preserve">98 </w:t>
            </w:r>
          </w:p>
        </w:tc>
      </w:tr>
      <w:tr>
        <w:trPr>
          <w:trHeight w:hRule="atLeast" w:val="280"/>
          <w:hidden w:val="0"/>
        </w:trPr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7000000">
            <w:pPr>
              <w:pStyle w:val="Style_5"/>
              <w:ind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 квалификационный уровень</w:t>
            </w:r>
          </w:p>
        </w:tc>
        <w:tc>
          <w:tcPr>
            <w:tcW w:type="dxa" w:w="510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27 575</w:t>
            </w:r>
          </w:p>
        </w:tc>
      </w:tr>
    </w:tbl>
    <w:p w14:paraId="49000000">
      <w:pPr>
        <w:pStyle w:val="Style_2"/>
        <w:spacing w:line="360" w:lineRule="exact"/>
        <w:ind w:firstLine="709" w:left="0" w:right="0"/>
        <w:jc w:val="both"/>
      </w:pPr>
    </w:p>
    <w:p w14:paraId="4A000000">
      <w:pPr>
        <w:pStyle w:val="Style_2"/>
        <w:spacing w:line="360" w:lineRule="exact"/>
        <w:ind w:firstLine="709" w:left="0" w:right="0"/>
        <w:jc w:val="both"/>
      </w:pPr>
      <w:r>
        <w:rPr>
          <w:color w:val="000000"/>
          <w:sz w:val="28"/>
        </w:rPr>
        <w:t>ж) Пункт 6.1.изложить в следующей редакции:</w:t>
      </w:r>
    </w:p>
    <w:p w14:paraId="4B000000">
      <w:pPr>
        <w:pStyle w:val="Style_2"/>
        <w:spacing w:line="360" w:lineRule="exact"/>
        <w:ind w:firstLine="709" w:left="0" w:right="0"/>
        <w:jc w:val="both"/>
        <w:rPr>
          <w:sz w:val="28"/>
        </w:rPr>
      </w:pPr>
      <w:r>
        <w:rPr>
          <w:sz w:val="28"/>
        </w:rPr>
        <w:t>«6.1</w:t>
      </w:r>
      <w:r>
        <w:t xml:space="preserve">. </w:t>
      </w:r>
      <w:r>
        <w:rPr>
          <w:sz w:val="28"/>
        </w:rPr>
        <w:t>Оклады (должностные оклады) медицинских и фармацевтических работников устанавливаются на основе отнесения занимаемых ими должностей к</w:t>
      </w:r>
      <w:r>
        <w:rPr>
          <w:color w:val="000000"/>
          <w:sz w:val="28"/>
        </w:rPr>
        <w:t> </w:t>
      </w:r>
      <w:r>
        <w:rPr>
          <w:strike w:val="0"/>
          <w:color w:val="000000"/>
          <w:sz w:val="28"/>
          <w:u/>
        </w:rPr>
        <w:fldChar w:fldCharType="begin"/>
      </w:r>
      <w:r>
        <w:rPr>
          <w:strike w:val="0"/>
          <w:color w:val="000000"/>
          <w:sz w:val="28"/>
          <w:u/>
        </w:rPr>
        <w:instrText>HYPERLINK "https://internet.garant.ru/#/document/12159870/entry/1000"</w:instrText>
      </w:r>
      <w:r>
        <w:rPr>
          <w:strike w:val="0"/>
          <w:color w:val="000000"/>
          <w:sz w:val="28"/>
          <w:u/>
        </w:rPr>
        <w:fldChar w:fldCharType="separate"/>
      </w:r>
      <w:r>
        <w:rPr>
          <w:strike w:val="0"/>
          <w:color w:val="000000"/>
          <w:sz w:val="28"/>
          <w:u/>
        </w:rPr>
        <w:t>ПКГ</w:t>
      </w:r>
      <w:r>
        <w:rPr>
          <w:strike w:val="0"/>
          <w:color w:val="000000"/>
          <w:sz w:val="28"/>
          <w:u/>
        </w:rPr>
        <w:fldChar w:fldCharType="end"/>
      </w:r>
      <w:r>
        <w:rPr>
          <w:color w:val="000000"/>
          <w:sz w:val="28"/>
        </w:rPr>
        <w:t>, утвержденным</w:t>
      </w:r>
      <w:r>
        <w:rPr>
          <w:color w:val="000000"/>
          <w:sz w:val="28"/>
        </w:rPr>
        <w:t> </w:t>
      </w:r>
      <w:r>
        <w:rPr>
          <w:strike w:val="0"/>
          <w:color w:val="000000"/>
          <w:sz w:val="28"/>
          <w:u/>
        </w:rPr>
        <w:fldChar w:fldCharType="begin"/>
      </w:r>
      <w:r>
        <w:rPr>
          <w:strike w:val="0"/>
          <w:color w:val="000000"/>
          <w:sz w:val="28"/>
          <w:u/>
        </w:rPr>
        <w:instrText>HYPERLINK "https://internet.garant.ru/#/document/12159870/entry/0"</w:instrText>
      </w:r>
      <w:r>
        <w:rPr>
          <w:strike w:val="0"/>
          <w:color w:val="000000"/>
          <w:sz w:val="28"/>
          <w:u/>
        </w:rPr>
        <w:fldChar w:fldCharType="separate"/>
      </w:r>
      <w:r>
        <w:rPr>
          <w:strike w:val="0"/>
          <w:color w:val="000000"/>
          <w:sz w:val="28"/>
          <w:u/>
        </w:rPr>
        <w:t>приказом</w:t>
      </w:r>
      <w:r>
        <w:rPr>
          <w:strike w:val="0"/>
          <w:color w:val="000000"/>
          <w:sz w:val="28"/>
          <w:u/>
        </w:rPr>
        <w:fldChar w:fldCharType="end"/>
      </w:r>
      <w:r>
        <w:rPr>
          <w:color w:val="000000"/>
          <w:sz w:val="28"/>
        </w:rPr>
        <w:t> </w:t>
      </w:r>
      <w:r>
        <w:rPr>
          <w:color w:val="000000"/>
          <w:sz w:val="28"/>
        </w:rPr>
        <w:t>Министерства здравоохранения и социального развития Российской Федерации от 31 марта 2008 г. № 149н «Об утверждении профессиональных квалификационных групп должностей работников, занятых в сфере здравоохранения и предоставления социальных услуг», в размерах, установленных</w:t>
      </w:r>
      <w:r>
        <w:rPr>
          <w:color w:val="000000"/>
          <w:sz w:val="28"/>
        </w:rPr>
        <w:t> </w:t>
      </w:r>
      <w:r>
        <w:rPr>
          <w:strike w:val="0"/>
          <w:color w:val="000000"/>
          <w:sz w:val="28"/>
          <w:u/>
        </w:rPr>
        <w:fldChar w:fldCharType="begin"/>
      </w:r>
      <w:r>
        <w:rPr>
          <w:strike w:val="0"/>
          <w:color w:val="000000"/>
          <w:sz w:val="28"/>
          <w:u/>
        </w:rPr>
        <w:instrText>HYPERLINK "https://internet.garant.ru/#/document/405227309/entry/1000"</w:instrText>
      </w:r>
      <w:r>
        <w:rPr>
          <w:strike w:val="0"/>
          <w:color w:val="000000"/>
          <w:sz w:val="28"/>
          <w:u/>
        </w:rPr>
        <w:fldChar w:fldCharType="separate"/>
      </w:r>
      <w:r>
        <w:rPr>
          <w:strike w:val="0"/>
          <w:color w:val="000000"/>
          <w:sz w:val="28"/>
          <w:u/>
        </w:rPr>
        <w:t>Положением</w:t>
      </w:r>
      <w:r>
        <w:rPr>
          <w:strike w:val="0"/>
          <w:color w:val="000000"/>
          <w:sz w:val="28"/>
          <w:u/>
        </w:rPr>
        <w:fldChar w:fldCharType="end"/>
      </w:r>
      <w:r>
        <w:rPr>
          <w:color w:val="000000"/>
          <w:sz w:val="28"/>
        </w:rPr>
        <w:t> </w:t>
      </w:r>
      <w:r>
        <w:rPr>
          <w:color w:val="000000"/>
          <w:sz w:val="28"/>
        </w:rPr>
        <w:t xml:space="preserve">по оплате труда работников государственных бюджетных, автономных, казенных учреждений, подведомственных Министерству здравоохранения Республики Саха (Якутия), </w:t>
      </w:r>
      <w:r>
        <w:rPr>
          <w:color w:val="000000"/>
          <w:sz w:val="28"/>
        </w:rPr>
        <w:t>утвержденным</w:t>
      </w:r>
      <w:r>
        <w:rPr>
          <w:color w:val="000000"/>
          <w:sz w:val="28"/>
        </w:rPr>
        <w:t> </w:t>
      </w:r>
      <w:r>
        <w:rPr>
          <w:strike w:val="0"/>
          <w:color w:val="000000"/>
          <w:sz w:val="28"/>
          <w:u/>
        </w:rPr>
        <w:fldChar w:fldCharType="begin"/>
      </w:r>
      <w:r>
        <w:rPr>
          <w:strike w:val="0"/>
          <w:color w:val="000000"/>
          <w:sz w:val="28"/>
          <w:u/>
        </w:rPr>
        <w:instrText>HYPERLINK "https://internet.garant.ru/#/document/405227309/entry/0"</w:instrText>
      </w:r>
      <w:r>
        <w:rPr>
          <w:strike w:val="0"/>
          <w:color w:val="000000"/>
          <w:sz w:val="28"/>
          <w:u/>
        </w:rPr>
        <w:fldChar w:fldCharType="separate"/>
      </w:r>
      <w:r>
        <w:rPr>
          <w:strike w:val="0"/>
          <w:color w:val="000000"/>
          <w:sz w:val="28"/>
          <w:u/>
        </w:rPr>
        <w:t>постановлением</w:t>
      </w:r>
      <w:r>
        <w:rPr>
          <w:strike w:val="0"/>
          <w:color w:val="000000"/>
          <w:sz w:val="28"/>
          <w:u/>
        </w:rPr>
        <w:fldChar w:fldCharType="end"/>
      </w:r>
      <w:r>
        <w:rPr>
          <w:color w:val="000000"/>
          <w:sz w:val="28"/>
        </w:rPr>
        <w:t> </w:t>
      </w:r>
      <w:r>
        <w:rPr>
          <w:sz w:val="28"/>
        </w:rPr>
        <w:t>Правительства Республики Саха (Якутия) от 30 августа 2022 г. № 519.</w:t>
      </w:r>
    </w:p>
    <w:p w14:paraId="4C000000">
      <w:pPr>
        <w:pStyle w:val="Style_2"/>
        <w:spacing w:line="360" w:lineRule="exact"/>
        <w:ind w:firstLine="709" w:left="0" w:right="0"/>
        <w:jc w:val="both"/>
        <w:rPr>
          <w:sz w:val="28"/>
        </w:rPr>
      </w:pPr>
      <w:r>
        <w:rPr>
          <w:sz w:val="28"/>
        </w:rPr>
        <w:t>з) Абзац второй после таблицы  считать утратившим силу.</w:t>
      </w:r>
    </w:p>
    <w:p w14:paraId="4D000000">
      <w:pPr>
        <w:pStyle w:val="Style_2"/>
        <w:spacing w:line="360" w:lineRule="exact"/>
        <w:ind w:firstLine="709" w:left="0" w:right="0"/>
        <w:jc w:val="both"/>
      </w:pPr>
      <w:r>
        <w:rPr>
          <w:color w:val="000000"/>
          <w:sz w:val="28"/>
        </w:rPr>
        <w:t>2. Опубликовать настоящее постановление в официальных средствах массовой информации.</w:t>
      </w:r>
    </w:p>
    <w:p w14:paraId="4E000000">
      <w:pPr>
        <w:pStyle w:val="Style_2"/>
        <w:spacing w:line="360" w:lineRule="exact"/>
        <w:ind w:firstLine="709" w:left="0" w:right="0"/>
        <w:jc w:val="both"/>
      </w:pPr>
    </w:p>
    <w:p w14:paraId="4F000000">
      <w:pPr>
        <w:pStyle w:val="Style_2"/>
        <w:spacing w:line="360" w:lineRule="exact"/>
        <w:ind w:firstLine="709" w:left="0" w:right="0"/>
        <w:jc w:val="both"/>
      </w:pPr>
    </w:p>
    <w:p w14:paraId="50000000">
      <w:pPr>
        <w:pStyle w:val="Style_2"/>
        <w:spacing w:line="360" w:lineRule="exact"/>
        <w:ind w:firstLine="709" w:left="0" w:right="0"/>
        <w:jc w:val="both"/>
      </w:pPr>
    </w:p>
    <w:p w14:paraId="51000000">
      <w:pPr>
        <w:pStyle w:val="Style_6"/>
        <w:tabs>
          <w:tab w:leader="none" w:pos="1134" w:val="left"/>
        </w:tabs>
        <w:spacing w:after="0" w:before="0" w:line="360" w:lineRule="exact"/>
        <w:ind w:firstLine="0" w:left="0" w:right="0"/>
        <w:contextualSpacing w:val="1"/>
        <w:jc w:val="both"/>
      </w:pPr>
      <w:r>
        <w:rPr>
          <w:rFonts w:ascii="Times New Roman" w:hAnsi="Times New Roman"/>
          <w:b w:val="1"/>
          <w:color w:val="000000"/>
          <w:sz w:val="28"/>
        </w:rPr>
        <w:t>Председатель Правительства</w:t>
      </w:r>
    </w:p>
    <w:p w14:paraId="52000000">
      <w:pPr>
        <w:pStyle w:val="Style_6"/>
        <w:tabs>
          <w:tab w:leader="none" w:pos="1134" w:val="left"/>
        </w:tabs>
        <w:spacing w:after="0" w:before="0" w:line="360" w:lineRule="exact"/>
        <w:ind w:firstLine="0" w:left="0" w:right="0"/>
        <w:contextualSpacing w:val="1"/>
        <w:jc w:val="both"/>
      </w:pPr>
      <w:r>
        <w:rPr>
          <w:rFonts w:ascii="Times New Roman" w:hAnsi="Times New Roman"/>
          <w:b w:val="1"/>
          <w:color w:val="000000"/>
          <w:sz w:val="28"/>
        </w:rPr>
        <w:t>Республики Саха (Якутия)</w:t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ab/>
      </w:r>
      <w:r>
        <w:rPr>
          <w:rFonts w:ascii="Times New Roman" w:hAnsi="Times New Roman"/>
          <w:b w:val="1"/>
          <w:color w:val="000000"/>
          <w:sz w:val="28"/>
        </w:rPr>
        <w:t>А.ТАРАСЕНКО</w:t>
      </w:r>
    </w:p>
    <w:p w14:paraId="53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4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5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6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7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8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9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A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B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C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D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E000000">
      <w:pPr>
        <w:pStyle w:val="Style_7"/>
        <w:numPr>
          <w:ilvl w:val="0"/>
          <w:numId w:val="0"/>
        </w:numPr>
        <w:ind w:firstLine="0" w:left="0" w:right="0"/>
        <w:jc w:val="center"/>
      </w:pPr>
    </w:p>
    <w:p w14:paraId="5F000000">
      <w:pPr>
        <w:pStyle w:val="Style_7"/>
        <w:numPr>
          <w:ilvl w:val="0"/>
          <w:numId w:val="0"/>
        </w:numPr>
        <w:ind w:firstLine="0" w:left="0" w:right="0"/>
        <w:jc w:val="center"/>
      </w:pPr>
    </w:p>
    <w:sectPr>
      <w:pgSz w:h="16838" w:orient="portrait" w:w="11906"/>
      <w:pgMar w:bottom="1083" w:footer="708" w:header="708" w:left="1133" w:right="566" w:top="1440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russianLower"/>
      <w:lvlText w:val="%1)"/>
      <w:pPr>
        <w:ind w:hanging="360" w:left="720"/>
      </w:pPr>
    </w:lvl>
    <w:lvl w:ilvl="1">
      <w:start w:val="1"/>
      <w:numFmt w:val="decimal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pPr>
        <w:ind w:hanging="360" w:left="2880"/>
      </w:pPr>
    </w:lvl>
    <w:lvl w:ilvl="4">
      <w:start w:val="1"/>
      <w:numFmt w:val="decimal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pPr>
        <w:ind w:hanging="360" w:left="5040"/>
      </w:pPr>
    </w:lvl>
    <w:lvl w:ilvl="7">
      <w:start w:val="1"/>
      <w:numFmt w:val="decimal"/>
      <w:lvlText w:val="%8)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widowControl w:val="0"/>
      <w:ind/>
    </w:pPr>
    <w:rPr>
      <w:rFonts w:ascii="PT Astra Serif" w:hAnsi="PT Astra Serif"/>
      <w:color w:val="000000"/>
      <w:sz w:val="24"/>
    </w:rPr>
  </w:style>
  <w:style w:default="1" w:styleId="Style_8_ch" w:type="character">
    <w:name w:val="Normal"/>
    <w:link w:val="Style_8"/>
    <w:rPr>
      <w:rFonts w:ascii="PT Astra Serif" w:hAnsi="PT Astra Serif"/>
      <w:color w:val="000000"/>
      <w:sz w:val="24"/>
    </w:rPr>
  </w:style>
  <w:style w:styleId="Style_9" w:type="paragraph">
    <w:name w:val="ConsPlusNonformat"/>
    <w:link w:val="Style_9_ch"/>
    <w:pPr>
      <w:widowControl w:val="0"/>
      <w:ind/>
    </w:pPr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9_ch" w:type="character">
    <w:name w:val="ConsPlusNonformat"/>
    <w:link w:val="Style_9"/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10" w:type="paragraph">
    <w:name w:val="ConsPlusJurTerm"/>
    <w:link w:val="Style_10_ch"/>
    <w:pPr>
      <w:widowControl w:val="0"/>
      <w:ind/>
    </w:pPr>
    <w:rPr>
      <w:rFonts w:ascii="Arial" w:hAnsi="Arial"/>
      <w:b w:val="0"/>
      <w:i w:val="0"/>
      <w:strike w:val="0"/>
      <w:color w:val="000000"/>
      <w:sz w:val="26"/>
      <w:u w:val="none"/>
    </w:rPr>
  </w:style>
  <w:style w:styleId="Style_10_ch" w:type="character">
    <w:name w:val="ConsPlusJurTerm"/>
    <w:link w:val="Style_10"/>
    <w:rPr>
      <w:rFonts w:ascii="Arial" w:hAnsi="Arial"/>
      <w:b w:val="0"/>
      <w:i w:val="0"/>
      <w:strike w:val="0"/>
      <w:color w:val="000000"/>
      <w:sz w:val="26"/>
      <w:u w:val="none"/>
    </w:rPr>
  </w:style>
  <w:style w:styleId="Style_11" w:type="paragraph">
    <w:name w:val="toc 2"/>
    <w:next w:val="Style_8"/>
    <w:link w:val="Style_11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caption"/>
    <w:basedOn w:val="Style_8"/>
    <w:link w:val="Style_12_ch"/>
    <w:pPr>
      <w:spacing w:after="120" w:before="120"/>
      <w:ind/>
    </w:pPr>
    <w:rPr>
      <w:rFonts w:ascii="PT Astra Serif" w:hAnsi="PT Astra Serif"/>
      <w:i w:val="1"/>
      <w:sz w:val="24"/>
    </w:rPr>
  </w:style>
  <w:style w:styleId="Style_12_ch" w:type="character">
    <w:name w:val="caption"/>
    <w:basedOn w:val="Style_8_ch"/>
    <w:link w:val="Style_12"/>
    <w:rPr>
      <w:rFonts w:ascii="PT Astra Serif" w:hAnsi="PT Astra Serif"/>
      <w:i w:val="1"/>
      <w:sz w:val="24"/>
    </w:rPr>
  </w:style>
  <w:style w:styleId="Style_13" w:type="paragraph">
    <w:name w:val="toc 4"/>
    <w:next w:val="Style_8"/>
    <w:link w:val="Style_1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3_ch" w:type="character">
    <w:name w:val="toc 4"/>
    <w:link w:val="Style_13"/>
    <w:rPr>
      <w:rFonts w:ascii="XO Thames" w:hAnsi="XO Thames"/>
      <w:sz w:val="28"/>
    </w:rPr>
  </w:style>
  <w:style w:styleId="Style_14" w:type="paragraph">
    <w:name w:val="toc 6"/>
    <w:next w:val="Style_8"/>
    <w:link w:val="Style_1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8"/>
    <w:link w:val="Style_1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Указатель"/>
    <w:basedOn w:val="Style_8"/>
    <w:link w:val="Style_16_ch"/>
    <w:rPr>
      <w:rFonts w:ascii="PT Astra Serif" w:hAnsi="PT Astra Serif"/>
    </w:rPr>
  </w:style>
  <w:style w:styleId="Style_16_ch" w:type="character">
    <w:name w:val="Указатель"/>
    <w:basedOn w:val="Style_8_ch"/>
    <w:link w:val="Style_16"/>
    <w:rPr>
      <w:rFonts w:ascii="PT Astra Serif" w:hAnsi="PT Astra Serif"/>
    </w:rPr>
  </w:style>
  <w:style w:styleId="Style_17" w:type="paragraph">
    <w:name w:val="footer"/>
    <w:basedOn w:val="Style_18"/>
    <w:link w:val="Style_17_ch"/>
  </w:style>
  <w:style w:styleId="Style_17_ch" w:type="character">
    <w:name w:val="footer"/>
    <w:basedOn w:val="Style_18_ch"/>
    <w:link w:val="Style_17"/>
  </w:style>
  <w:style w:styleId="Style_19" w:type="paragraph">
    <w:name w:val="heading 3"/>
    <w:next w:val="Style_8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7" w:type="paragraph">
    <w:name w:val="ConsPlusTitle"/>
    <w:link w:val="Style_7_ch"/>
    <w:pPr>
      <w:widowControl w:val="0"/>
      <w:ind/>
    </w:pPr>
    <w:rPr>
      <w:rFonts w:ascii="Arial" w:hAnsi="Arial"/>
      <w:b w:val="1"/>
      <w:i w:val="0"/>
      <w:strike w:val="0"/>
      <w:color w:val="000000"/>
      <w:sz w:val="20"/>
      <w:u w:val="none"/>
    </w:rPr>
  </w:style>
  <w:style w:styleId="Style_7_ch" w:type="character">
    <w:name w:val="ConsPlusTitle"/>
    <w:link w:val="Style_7"/>
    <w:rPr>
      <w:rFonts w:ascii="Arial" w:hAnsi="Arial"/>
      <w:b w:val="1"/>
      <w:i w:val="0"/>
      <w:strike w:val="0"/>
      <w:color w:val="000000"/>
      <w:sz w:val="20"/>
      <w:u w:val="none"/>
    </w:rPr>
  </w:style>
  <w:style w:styleId="Style_20" w:type="paragraph">
    <w:name w:val="List"/>
    <w:basedOn w:val="Style_21"/>
    <w:link w:val="Style_20_ch"/>
    <w:rPr>
      <w:rFonts w:ascii="PT Astra Serif" w:hAnsi="PT Astra Serif"/>
    </w:rPr>
  </w:style>
  <w:style w:styleId="Style_20_ch" w:type="character">
    <w:name w:val="List"/>
    <w:basedOn w:val="Style_21_ch"/>
    <w:link w:val="Style_20"/>
    <w:rPr>
      <w:rFonts w:ascii="PT Astra Serif" w:hAnsi="PT Astra Serif"/>
    </w:rPr>
  </w:style>
  <w:style w:styleId="Style_22" w:type="paragraph">
    <w:name w:val="ConsPlusDocList"/>
    <w:link w:val="Style_22_ch"/>
    <w:pPr>
      <w:widowControl w:val="0"/>
      <w:ind/>
    </w:pPr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22_ch" w:type="character">
    <w:name w:val="ConsPlusDocList"/>
    <w:link w:val="Style_22"/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23" w:type="paragraph">
    <w:name w:val="ConsPlusTitlePage"/>
    <w:link w:val="Style_23_ch"/>
    <w:pPr>
      <w:widowControl w:val="0"/>
      <w:ind/>
    </w:pPr>
    <w:rPr>
      <w:rFonts w:ascii="Tahoma" w:hAnsi="Tahoma"/>
      <w:b w:val="0"/>
      <w:i w:val="0"/>
      <w:strike w:val="0"/>
      <w:color w:val="000000"/>
      <w:sz w:val="20"/>
      <w:u w:val="none"/>
    </w:rPr>
  </w:style>
  <w:style w:styleId="Style_23_ch" w:type="character">
    <w:name w:val="ConsPlusTitlePage"/>
    <w:link w:val="Style_23"/>
    <w:rPr>
      <w:rFonts w:ascii="Tahoma" w:hAnsi="Tahoma"/>
      <w:b w:val="0"/>
      <w:i w:val="0"/>
      <w:strike w:val="0"/>
      <w:color w:val="000000"/>
      <w:sz w:val="20"/>
      <w:u w:val="none"/>
    </w:rPr>
  </w:style>
  <w:style w:styleId="Style_24" w:type="paragraph">
    <w:name w:val="Заголовок"/>
    <w:basedOn w:val="Style_8"/>
    <w:next w:val="Style_21"/>
    <w:link w:val="Style_24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24_ch" w:type="character">
    <w:name w:val="Заголовок"/>
    <w:basedOn w:val="Style_8_ch"/>
    <w:link w:val="Style_24"/>
    <w:rPr>
      <w:rFonts w:ascii="PT Astra Serif" w:hAnsi="PT Astra Serif"/>
      <w:sz w:val="28"/>
    </w:rPr>
  </w:style>
  <w:style w:styleId="Style_25" w:type="paragraph">
    <w:name w:val="header"/>
    <w:basedOn w:val="Style_18"/>
    <w:link w:val="Style_25_ch"/>
  </w:style>
  <w:style w:styleId="Style_25_ch" w:type="character">
    <w:name w:val="header"/>
    <w:basedOn w:val="Style_18_ch"/>
    <w:link w:val="Style_25"/>
  </w:style>
  <w:style w:styleId="Style_26" w:type="paragraph">
    <w:name w:val="ConsPlusTextList"/>
    <w:link w:val="Style_26_ch"/>
    <w:pPr>
      <w:widowControl w:val="0"/>
      <w:ind/>
    </w:pPr>
    <w:rPr>
      <w:rFonts w:ascii="Arial" w:hAnsi="Arial"/>
      <w:b w:val="0"/>
      <w:i w:val="0"/>
      <w:strike w:val="0"/>
      <w:color w:val="000000"/>
      <w:sz w:val="20"/>
      <w:u w:val="none"/>
    </w:rPr>
  </w:style>
  <w:style w:styleId="Style_26_ch" w:type="character">
    <w:name w:val="ConsPlusTextList"/>
    <w:link w:val="Style_26"/>
    <w:rPr>
      <w:rFonts w:ascii="Arial" w:hAnsi="Arial"/>
      <w:b w:val="0"/>
      <w:i w:val="0"/>
      <w:strike w:val="0"/>
      <w:color w:val="000000"/>
      <w:sz w:val="20"/>
      <w:u w:val="none"/>
    </w:rPr>
  </w:style>
  <w:style w:styleId="Style_27" w:type="paragraph">
    <w:name w:val="toc 3"/>
    <w:next w:val="Style_8"/>
    <w:link w:val="Style_2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7_ch" w:type="character">
    <w:name w:val="toc 3"/>
    <w:link w:val="Style_27"/>
    <w:rPr>
      <w:rFonts w:ascii="XO Thames" w:hAnsi="XO Thames"/>
      <w:sz w:val="28"/>
    </w:rPr>
  </w:style>
  <w:style w:styleId="Style_28" w:type="paragraph">
    <w:name w:val="heading 5"/>
    <w:next w:val="Style_8"/>
    <w:link w:val="Style_2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8_ch" w:type="character">
    <w:name w:val="heading 5"/>
    <w:link w:val="Style_28"/>
    <w:rPr>
      <w:rFonts w:ascii="XO Thames" w:hAnsi="XO Thames"/>
      <w:b w:val="1"/>
      <w:sz w:val="22"/>
    </w:rPr>
  </w:style>
  <w:style w:styleId="Style_29" w:type="paragraph">
    <w:name w:val="heading 1"/>
    <w:next w:val="Style_8"/>
    <w:link w:val="Style_2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9_ch" w:type="character">
    <w:name w:val="heading 1"/>
    <w:link w:val="Style_29"/>
    <w:rPr>
      <w:rFonts w:ascii="XO Thames" w:hAnsi="XO Thames"/>
      <w:b w:val="1"/>
      <w:sz w:val="32"/>
    </w:rPr>
  </w:style>
  <w:style w:styleId="Style_6" w:type="paragraph">
    <w:name w:val="Абзац списка"/>
    <w:basedOn w:val="Style_8"/>
    <w:link w:val="Style_6_ch"/>
    <w:pPr>
      <w:spacing w:after="200" w:before="0" w:line="276" w:lineRule="auto"/>
      <w:ind w:firstLine="0" w:left="720" w:right="0"/>
      <w:contextualSpacing w:val="1"/>
      <w:jc w:val="left"/>
    </w:pPr>
  </w:style>
  <w:style w:styleId="Style_6_ch" w:type="character">
    <w:name w:val="Абзац списка"/>
    <w:basedOn w:val="Style_8_ch"/>
    <w:link w:val="Style_6"/>
  </w:style>
  <w:style w:styleId="Style_30" w:type="paragraph">
    <w:name w:val="Default Paragraph Font"/>
    <w:link w:val="Style_30_ch"/>
  </w:style>
  <w:style w:styleId="Style_30_ch" w:type="character">
    <w:name w:val="Default Paragraph Font"/>
    <w:link w:val="Style_30"/>
  </w:style>
  <w:style w:styleId="Style_3" w:type="paragraph">
    <w:name w:val="Hyperlink"/>
    <w:link w:val="Style_3_ch"/>
    <w:rPr>
      <w:color w:val="000080"/>
      <w:u w:val="single"/>
    </w:rPr>
  </w:style>
  <w:style w:styleId="Style_3_ch" w:type="character">
    <w:name w:val="Hyperlink"/>
    <w:link w:val="Style_3"/>
    <w:rPr>
      <w:color w:val="000080"/>
      <w:u w:val="single"/>
    </w:rPr>
  </w:style>
  <w:style w:styleId="Style_31" w:type="paragraph">
    <w:name w:val="Footnote"/>
    <w:link w:val="Style_31_ch"/>
    <w:pPr>
      <w:ind w:firstLine="851" w:left="0"/>
      <w:jc w:val="both"/>
    </w:pPr>
    <w:rPr>
      <w:rFonts w:ascii="XO Thames" w:hAnsi="XO Thames"/>
      <w:sz w:val="22"/>
    </w:rPr>
  </w:style>
  <w:style w:styleId="Style_31_ch" w:type="character">
    <w:name w:val="Footnote"/>
    <w:link w:val="Style_31"/>
    <w:rPr>
      <w:rFonts w:ascii="XO Thames" w:hAnsi="XO Thames"/>
      <w:sz w:val="22"/>
    </w:rPr>
  </w:style>
  <w:style w:styleId="Style_32" w:type="paragraph">
    <w:name w:val="toc 1"/>
    <w:next w:val="Style_8"/>
    <w:link w:val="Style_3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2_ch" w:type="character">
    <w:name w:val="toc 1"/>
    <w:link w:val="Style_32"/>
    <w:rPr>
      <w:rFonts w:ascii="XO Thames" w:hAnsi="XO Thames"/>
      <w:b w:val="1"/>
      <w:sz w:val="28"/>
    </w:rPr>
  </w:style>
  <w:style w:styleId="Style_2" w:type="paragraph">
    <w:name w:val="Default"/>
    <w:link w:val="Style_2_ch"/>
    <w:pPr>
      <w:widowControl w:val="1"/>
      <w:ind/>
    </w:pPr>
    <w:rPr>
      <w:rFonts w:ascii="Times New Roman" w:hAnsi="Times New Roman"/>
      <w:color w:val="000000"/>
      <w:sz w:val="24"/>
    </w:rPr>
  </w:style>
  <w:style w:styleId="Style_2_ch" w:type="character">
    <w:name w:val="Default"/>
    <w:link w:val="Style_2"/>
    <w:rPr>
      <w:rFonts w:ascii="Times New Roman" w:hAnsi="Times New Roman"/>
      <w:color w:val="000000"/>
      <w:sz w:val="24"/>
    </w:rPr>
  </w:style>
  <w:style w:styleId="Style_33" w:type="paragraph">
    <w:name w:val="Header and Footer"/>
    <w:link w:val="Style_33_ch"/>
    <w:pPr>
      <w:spacing w:line="240" w:lineRule="auto"/>
      <w:ind/>
      <w:jc w:val="both"/>
    </w:pPr>
    <w:rPr>
      <w:rFonts w:ascii="XO Thames" w:hAnsi="XO Thames"/>
      <w:sz w:val="20"/>
    </w:rPr>
  </w:style>
  <w:style w:styleId="Style_33_ch" w:type="character">
    <w:name w:val="Header and Footer"/>
    <w:link w:val="Style_33"/>
    <w:rPr>
      <w:rFonts w:ascii="XO Thames" w:hAnsi="XO Thames"/>
      <w:sz w:val="20"/>
    </w:rPr>
  </w:style>
  <w:style w:styleId="Style_34" w:type="paragraph">
    <w:name w:val="toc 9"/>
    <w:next w:val="Style_8"/>
    <w:link w:val="Style_3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4_ch" w:type="character">
    <w:name w:val="toc 9"/>
    <w:link w:val="Style_34"/>
    <w:rPr>
      <w:rFonts w:ascii="XO Thames" w:hAnsi="XO Thames"/>
      <w:sz w:val="28"/>
    </w:rPr>
  </w:style>
  <w:style w:styleId="Style_35" w:type="paragraph">
    <w:name w:val="Заголовок таблицы"/>
    <w:basedOn w:val="Style_5"/>
    <w:link w:val="Style_35_ch"/>
    <w:pPr>
      <w:ind/>
      <w:jc w:val="center"/>
    </w:pPr>
    <w:rPr>
      <w:b w:val="1"/>
    </w:rPr>
  </w:style>
  <w:style w:styleId="Style_35_ch" w:type="character">
    <w:name w:val="Заголовок таблицы"/>
    <w:basedOn w:val="Style_5_ch"/>
    <w:link w:val="Style_35"/>
    <w:rPr>
      <w:b w:val="1"/>
    </w:rPr>
  </w:style>
  <w:style w:styleId="Style_36" w:type="paragraph">
    <w:name w:val="toc 8"/>
    <w:next w:val="Style_8"/>
    <w:link w:val="Style_3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6_ch" w:type="character">
    <w:name w:val="toc 8"/>
    <w:link w:val="Style_36"/>
    <w:rPr>
      <w:rFonts w:ascii="XO Thames" w:hAnsi="XO Thames"/>
      <w:sz w:val="28"/>
    </w:rPr>
  </w:style>
  <w:style w:styleId="Style_1" w:type="paragraph">
    <w:name w:val="ConsPlusNormal"/>
    <w:link w:val="Style_1_ch"/>
    <w:pPr>
      <w:widowControl w:val="0"/>
      <w:ind/>
    </w:pPr>
    <w:rPr>
      <w:rFonts w:ascii="Arial" w:hAnsi="Arial"/>
      <w:b w:val="0"/>
      <w:i w:val="0"/>
      <w:strike w:val="0"/>
      <w:color w:val="000000"/>
      <w:sz w:val="20"/>
      <w:u w:val="none"/>
    </w:rPr>
  </w:style>
  <w:style w:styleId="Style_1_ch" w:type="character">
    <w:name w:val="ConsPlusNormal"/>
    <w:link w:val="Style_1"/>
    <w:rPr>
      <w:rFonts w:ascii="Arial" w:hAnsi="Arial"/>
      <w:b w:val="0"/>
      <w:i w:val="0"/>
      <w:strike w:val="0"/>
      <w:color w:val="000000"/>
      <w:sz w:val="20"/>
      <w:u w:val="none"/>
    </w:rPr>
  </w:style>
  <w:style w:styleId="Style_37" w:type="paragraph">
    <w:name w:val="ConsPlusCell"/>
    <w:link w:val="Style_37_ch"/>
    <w:pPr>
      <w:widowControl w:val="0"/>
      <w:ind/>
    </w:pPr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37_ch" w:type="character">
    <w:name w:val="ConsPlusCell"/>
    <w:link w:val="Style_37"/>
    <w:rPr>
      <w:rFonts w:ascii="Courier New" w:hAnsi="Courier New"/>
      <w:b w:val="0"/>
      <w:i w:val="0"/>
      <w:strike w:val="0"/>
      <w:color w:val="000000"/>
      <w:sz w:val="20"/>
      <w:u w:val="none"/>
    </w:rPr>
  </w:style>
  <w:style w:styleId="Style_38" w:type="paragraph">
    <w:name w:val="toc 5"/>
    <w:next w:val="Style_8"/>
    <w:link w:val="Style_3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8_ch" w:type="character">
    <w:name w:val="toc 5"/>
    <w:link w:val="Style_38"/>
    <w:rPr>
      <w:rFonts w:ascii="XO Thames" w:hAnsi="XO Thames"/>
      <w:sz w:val="28"/>
    </w:rPr>
  </w:style>
  <w:style w:styleId="Style_5" w:type="paragraph">
    <w:name w:val="Содержимое таблицы"/>
    <w:basedOn w:val="Style_8"/>
    <w:link w:val="Style_5_ch"/>
    <w:pPr>
      <w:widowControl w:val="0"/>
      <w:ind/>
    </w:pPr>
  </w:style>
  <w:style w:styleId="Style_5_ch" w:type="character">
    <w:name w:val="Содержимое таблицы"/>
    <w:basedOn w:val="Style_8_ch"/>
    <w:link w:val="Style_5"/>
  </w:style>
  <w:style w:styleId="Style_18" w:type="paragraph">
    <w:name w:val="Верхний и нижний колонтитулы"/>
    <w:basedOn w:val="Style_8"/>
    <w:link w:val="Style_18_ch"/>
  </w:style>
  <w:style w:styleId="Style_18_ch" w:type="character">
    <w:name w:val="Верхний и нижний колонтитулы"/>
    <w:basedOn w:val="Style_8_ch"/>
    <w:link w:val="Style_18"/>
  </w:style>
  <w:style w:styleId="Style_21" w:type="paragraph">
    <w:name w:val="Body Text"/>
    <w:basedOn w:val="Style_8"/>
    <w:link w:val="Style_21_ch"/>
    <w:pPr>
      <w:spacing w:after="140" w:before="0" w:line="276" w:lineRule="auto"/>
      <w:ind/>
    </w:pPr>
  </w:style>
  <w:style w:styleId="Style_21_ch" w:type="character">
    <w:name w:val="Body Text"/>
    <w:basedOn w:val="Style_8_ch"/>
    <w:link w:val="Style_21"/>
  </w:style>
  <w:style w:styleId="Style_39" w:type="paragraph">
    <w:name w:val="Subtitle"/>
    <w:next w:val="Style_8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Title"/>
    <w:next w:val="Style_8"/>
    <w:link w:val="Style_4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0_ch" w:type="character">
    <w:name w:val="Title"/>
    <w:link w:val="Style_40"/>
    <w:rPr>
      <w:rFonts w:ascii="XO Thames" w:hAnsi="XO Thames"/>
      <w:b w:val="1"/>
      <w:caps w:val="1"/>
      <w:sz w:val="40"/>
    </w:rPr>
  </w:style>
  <w:style w:styleId="Style_41" w:type="paragraph">
    <w:name w:val="heading 4"/>
    <w:next w:val="Style_8"/>
    <w:link w:val="Style_4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1_ch" w:type="character">
    <w:name w:val="heading 4"/>
    <w:link w:val="Style_41"/>
    <w:rPr>
      <w:rFonts w:ascii="XO Thames" w:hAnsi="XO Thames"/>
      <w:b w:val="1"/>
      <w:sz w:val="24"/>
    </w:rPr>
  </w:style>
  <w:style w:styleId="Style_42" w:type="paragraph">
    <w:name w:val="heading 2"/>
    <w:next w:val="Style_8"/>
    <w:link w:val="Style_4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2_ch" w:type="character">
    <w:name w:val="heading 2"/>
    <w:link w:val="Style_42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2023-02-22T12:57:20Z</dcterms:modified>
</cp:coreProperties>
</file>