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3000000">
      <w:pPr>
        <w:ind/>
        <w:jc w:val="right"/>
        <w:rPr>
          <w:rFonts w:ascii="PT Astra Serif" w:hAnsi="PT Astra Serif"/>
          <w:sz w:val="28"/>
        </w:rPr>
      </w:pPr>
      <w:r>
        <w:rPr>
          <w:rFonts w:ascii="PT Astra Serif" w:hAnsi="PT Astra Serif"/>
          <w:sz w:val="28"/>
        </w:rPr>
        <w:t>ПРОЕКТ</w:t>
      </w:r>
    </w:p>
    <w:p w14:paraId="04000000">
      <w:pPr>
        <w:ind/>
        <w:jc w:val="center"/>
        <w:rPr>
          <w:rFonts w:ascii="PT Astra Serif" w:hAnsi="PT Astra Serif"/>
          <w:b w:val="1"/>
          <w:sz w:val="28"/>
        </w:rPr>
      </w:pPr>
    </w:p>
    <w:p w14:paraId="05000000">
      <w:pPr>
        <w:ind/>
        <w:jc w:val="center"/>
        <w:rPr>
          <w:rFonts w:ascii="PT Astra Serif" w:hAnsi="PT Astra Serif"/>
          <w:b w:val="1"/>
          <w:sz w:val="28"/>
        </w:rPr>
      </w:pPr>
      <w:r>
        <w:rPr>
          <w:rFonts w:ascii="PT Astra Serif" w:hAnsi="PT Astra Serif"/>
          <w:b w:val="1"/>
          <w:sz w:val="28"/>
        </w:rPr>
        <w:t>ПРАВИТЕЛЬСТВО РЕСПУБЛИКИ САХА (ЯКУТИЯ)</w:t>
      </w:r>
    </w:p>
    <w:p w14:paraId="06000000">
      <w:pPr>
        <w:ind/>
        <w:jc w:val="center"/>
        <w:rPr>
          <w:rFonts w:ascii="PT Astra Serif" w:hAnsi="PT Astra Serif"/>
          <w:b w:val="1"/>
          <w:sz w:val="28"/>
        </w:rPr>
      </w:pPr>
    </w:p>
    <w:p w14:paraId="07000000">
      <w:pPr>
        <w:ind/>
        <w:jc w:val="center"/>
        <w:rPr>
          <w:rFonts w:ascii="PT Astra Serif" w:hAnsi="PT Astra Serif"/>
          <w:b w:val="1"/>
          <w:sz w:val="28"/>
        </w:rPr>
      </w:pPr>
      <w:r>
        <w:rPr>
          <w:rFonts w:ascii="PT Astra Serif" w:hAnsi="PT Astra Serif"/>
          <w:b w:val="1"/>
          <w:sz w:val="28"/>
        </w:rPr>
        <w:t>П О С Т А Н О В Л Е Н И Е</w:t>
      </w:r>
    </w:p>
    <w:p w14:paraId="08000000">
      <w:pPr>
        <w:ind/>
        <w:jc w:val="center"/>
        <w:rPr>
          <w:rFonts w:ascii="PT Astra Serif" w:hAnsi="PT Astra Serif"/>
          <w:b w:val="1"/>
          <w:sz w:val="28"/>
        </w:rPr>
      </w:pPr>
    </w:p>
    <w:p w14:paraId="09000000">
      <w:pPr>
        <w:ind/>
        <w:jc w:val="center"/>
        <w:rPr>
          <w:rFonts w:ascii="PT Astra Serif" w:hAnsi="PT Astra Serif"/>
          <w:sz w:val="28"/>
        </w:rPr>
      </w:pPr>
      <w:r>
        <w:rPr>
          <w:rFonts w:ascii="PT Astra Serif" w:hAnsi="PT Astra Serif"/>
          <w:sz w:val="28"/>
        </w:rPr>
        <w:t>о</w:t>
      </w:r>
      <w:r>
        <w:rPr>
          <w:rFonts w:ascii="PT Astra Serif" w:hAnsi="PT Astra Serif"/>
          <w:sz w:val="28"/>
        </w:rPr>
        <w:t>т «____» ______________ 202</w:t>
      </w:r>
      <w:r>
        <w:rPr>
          <w:rFonts w:ascii="PT Astra Serif" w:hAnsi="PT Astra Serif"/>
          <w:sz w:val="28"/>
        </w:rPr>
        <w:t>3</w:t>
      </w:r>
      <w:r>
        <w:rPr>
          <w:rFonts w:ascii="PT Astra Serif" w:hAnsi="PT Astra Serif"/>
          <w:sz w:val="28"/>
        </w:rPr>
        <w:t xml:space="preserve"> г. №_______</w:t>
      </w:r>
    </w:p>
    <w:p w14:paraId="0A000000">
      <w:pPr>
        <w:ind/>
        <w:jc w:val="center"/>
        <w:rPr>
          <w:rFonts w:ascii="PT Astra Serif" w:hAnsi="PT Astra Serif"/>
          <w:b w:val="1"/>
          <w:sz w:val="28"/>
        </w:rPr>
      </w:pPr>
    </w:p>
    <w:p w14:paraId="0B000000">
      <w:pPr>
        <w:ind/>
        <w:jc w:val="center"/>
        <w:rPr>
          <w:rFonts w:ascii="PT Astra Serif" w:hAnsi="PT Astra Serif"/>
          <w:b w:val="1"/>
          <w:sz w:val="28"/>
        </w:rPr>
      </w:pPr>
    </w:p>
    <w:p w14:paraId="0C000000">
      <w:pPr>
        <w:pStyle w:val="Style_2"/>
        <w:ind/>
        <w:jc w:val="center"/>
        <w:rPr>
          <w:rFonts w:ascii="PT Astra Serif" w:hAnsi="PT Astra Serif"/>
          <w:sz w:val="28"/>
        </w:rPr>
      </w:pPr>
      <w:r>
        <w:rPr>
          <w:rFonts w:ascii="PT Astra Serif" w:hAnsi="PT Astra Serif"/>
          <w:sz w:val="28"/>
        </w:rPr>
        <w:t xml:space="preserve">О внесении изменений в </w:t>
      </w:r>
      <w:r>
        <w:rPr>
          <w:rFonts w:ascii="PT Astra Serif" w:hAnsi="PT Astra Serif"/>
          <w:sz w:val="28"/>
        </w:rPr>
        <w:t>Порядок оказания государственной социальной помощи многодетным и приемным семьям, имеющим 10 и более несовершеннолетних детей, включая совершеннолетних детей в возрасте до 23 лет, обучающихся в образовательных организациях по очной форме обучения, для приобретения транспортного средства на основе социального контракта</w:t>
      </w:r>
      <w:r>
        <w:rPr>
          <w:rFonts w:ascii="PT Astra Serif" w:hAnsi="PT Astra Serif"/>
          <w:sz w:val="28"/>
        </w:rPr>
        <w:t xml:space="preserve">, </w:t>
      </w:r>
      <w:r>
        <w:rPr>
          <w:rFonts w:ascii="PT Astra Serif" w:hAnsi="PT Astra Serif"/>
          <w:sz w:val="28"/>
        </w:rPr>
        <w:t xml:space="preserve">утвержденный </w:t>
      </w:r>
      <w:r>
        <w:rPr>
          <w:rFonts w:ascii="PT Astra Serif" w:hAnsi="PT Astra Serif"/>
          <w:sz w:val="28"/>
        </w:rPr>
        <w:t>постановлением Правительства Республики Саха (Якутия</w:t>
      </w:r>
      <w:r>
        <w:rPr>
          <w:rFonts w:ascii="PT Astra Serif" w:hAnsi="PT Astra Serif"/>
          <w:sz w:val="28"/>
        </w:rPr>
        <w:t xml:space="preserve">) </w:t>
      </w:r>
      <w:r>
        <w:rPr>
          <w:rFonts w:ascii="PT Astra Serif" w:hAnsi="PT Astra Serif"/>
          <w:sz w:val="28"/>
        </w:rPr>
        <w:t>от 22</w:t>
      </w:r>
      <w:r>
        <w:rPr>
          <w:rFonts w:ascii="PT Astra Serif" w:hAnsi="PT Astra Serif"/>
          <w:sz w:val="28"/>
        </w:rPr>
        <w:t xml:space="preserve"> октября </w:t>
      </w:r>
      <w:r>
        <w:rPr>
          <w:rFonts w:ascii="PT Astra Serif" w:hAnsi="PT Astra Serif"/>
          <w:sz w:val="28"/>
        </w:rPr>
        <w:t>2012</w:t>
      </w:r>
      <w:r>
        <w:rPr>
          <w:rFonts w:ascii="PT Astra Serif" w:hAnsi="PT Astra Serif"/>
          <w:sz w:val="28"/>
        </w:rPr>
        <w:t xml:space="preserve"> года</w:t>
      </w:r>
      <w:r>
        <w:rPr>
          <w:rFonts w:ascii="PT Astra Serif" w:hAnsi="PT Astra Serif"/>
          <w:sz w:val="28"/>
        </w:rPr>
        <w:t xml:space="preserve"> </w:t>
      </w:r>
      <w:r>
        <w:rPr>
          <w:rFonts w:ascii="PT Astra Serif" w:hAnsi="PT Astra Serif"/>
          <w:sz w:val="28"/>
        </w:rPr>
        <w:t>№ 461</w:t>
      </w:r>
    </w:p>
    <w:p w14:paraId="0D000000">
      <w:pPr>
        <w:spacing w:line="360" w:lineRule="auto"/>
        <w:ind w:firstLine="709" w:left="0"/>
        <w:jc w:val="both"/>
        <w:rPr>
          <w:rFonts w:ascii="PT Astra Serif" w:hAnsi="PT Astra Serif"/>
          <w:sz w:val="28"/>
        </w:rPr>
      </w:pPr>
    </w:p>
    <w:p w14:paraId="0E000000">
      <w:pPr>
        <w:spacing w:line="360" w:lineRule="auto"/>
        <w:ind w:firstLine="709" w:left="0"/>
        <w:jc w:val="both"/>
        <w:rPr>
          <w:rFonts w:ascii="PT Astra Serif" w:hAnsi="PT Astra Serif"/>
          <w:sz w:val="28"/>
        </w:rPr>
      </w:pPr>
      <w:r>
        <w:rPr>
          <w:rFonts w:ascii="PT Astra Serif" w:hAnsi="PT Astra Serif"/>
          <w:sz w:val="28"/>
        </w:rPr>
        <w:t xml:space="preserve">В соответствии с </w:t>
      </w:r>
      <w:r>
        <w:rPr>
          <w:rFonts w:ascii="PT Astra Serif" w:hAnsi="PT Astra Serif"/>
          <w:sz w:val="28"/>
        </w:rPr>
        <w:t xml:space="preserve">пунктом 2 статьи 7 </w:t>
      </w:r>
      <w:r>
        <w:rPr>
          <w:rFonts w:ascii="PT Astra Serif" w:hAnsi="PT Astra Serif"/>
          <w:sz w:val="28"/>
        </w:rPr>
        <w:t>Федеральн</w:t>
      </w:r>
      <w:r>
        <w:rPr>
          <w:rFonts w:ascii="PT Astra Serif" w:hAnsi="PT Astra Serif"/>
          <w:sz w:val="28"/>
        </w:rPr>
        <w:t xml:space="preserve">ого </w:t>
      </w:r>
      <w:r>
        <w:rPr>
          <w:rFonts w:ascii="PT Astra Serif" w:hAnsi="PT Astra Serif"/>
          <w:sz w:val="28"/>
        </w:rPr>
        <w:fldChar w:fldCharType="begin"/>
      </w:r>
      <w:r>
        <w:rPr>
          <w:rFonts w:ascii="PT Astra Serif" w:hAnsi="PT Astra Serif"/>
          <w:sz w:val="28"/>
        </w:rPr>
        <w:instrText>HYPERLINK "consultantplus://offline/ref=86EE0BEAEC249213674B116BFA869927D495C446E2D1FB6806777A988EB7FD50AA826CC38959EFE0665EF3CB519A6FC24EF85D0D1833dCAОдополнительныхгарантияхпосоциальнойподдержкедетей-сиротидетей,оставшихсябезпопеченияродителей{КонсультантПлюс}" \o "Федеральный закон от 21.12.1996 N 159-ФЗ (ред. от 17.02.2021)"</w:instrText>
      </w:r>
      <w:r>
        <w:rPr>
          <w:rFonts w:ascii="PT Astra Serif" w:hAnsi="PT Astra Serif"/>
          <w:sz w:val="28"/>
        </w:rPr>
        <w:fldChar w:fldCharType="separate"/>
      </w:r>
      <w:r>
        <w:rPr>
          <w:rFonts w:ascii="PT Astra Serif" w:hAnsi="PT Astra Serif"/>
          <w:sz w:val="28"/>
        </w:rPr>
        <w:t>закон</w:t>
      </w:r>
      <w:r>
        <w:rPr>
          <w:rFonts w:ascii="PT Astra Serif" w:hAnsi="PT Astra Serif"/>
          <w:sz w:val="28"/>
        </w:rPr>
        <w:fldChar w:fldCharType="end"/>
      </w:r>
      <w:r>
        <w:rPr>
          <w:rFonts w:ascii="PT Astra Serif" w:hAnsi="PT Astra Serif"/>
          <w:sz w:val="28"/>
        </w:rPr>
        <w:t>а</w:t>
      </w:r>
      <w:r>
        <w:rPr>
          <w:rFonts w:ascii="PT Astra Serif" w:hAnsi="PT Astra Serif"/>
          <w:sz w:val="28"/>
        </w:rPr>
        <w:t xml:space="preserve"> от 21 декабря </w:t>
      </w:r>
      <w:r>
        <w:rPr>
          <w:rFonts w:ascii="PT Astra Serif" w:hAnsi="PT Astra Serif"/>
          <w:sz w:val="28"/>
        </w:rPr>
        <w:t>1996</w:t>
      </w:r>
      <w:r>
        <w:rPr>
          <w:rFonts w:ascii="PT Astra Serif" w:hAnsi="PT Astra Serif"/>
          <w:sz w:val="28"/>
        </w:rPr>
        <w:t> </w:t>
      </w:r>
      <w:r>
        <w:rPr>
          <w:rFonts w:ascii="PT Astra Serif" w:hAnsi="PT Astra Serif"/>
          <w:sz w:val="28"/>
        </w:rPr>
        <w:t>г. №</w:t>
      </w:r>
      <w:r>
        <w:rPr>
          <w:rFonts w:ascii="PT Astra Serif" w:hAnsi="PT Astra Serif"/>
          <w:sz w:val="28"/>
        </w:rPr>
        <w:t> </w:t>
      </w:r>
      <w:r>
        <w:rPr>
          <w:rFonts w:ascii="PT Astra Serif" w:hAnsi="PT Astra Serif"/>
          <w:sz w:val="28"/>
        </w:rPr>
        <w:t xml:space="preserve">159-ФЗ </w:t>
      </w:r>
      <w:r>
        <w:rPr>
          <w:rFonts w:ascii="PT Astra Serif" w:hAnsi="PT Astra Serif"/>
          <w:sz w:val="28"/>
        </w:rPr>
        <w:t>«</w:t>
      </w:r>
      <w:r>
        <w:rPr>
          <w:rFonts w:ascii="PT Astra Serif" w:hAnsi="PT Astra Serif"/>
          <w:sz w:val="28"/>
        </w:rPr>
        <w:t>О дополнительных гарантиях по социальной поддержке детей-сирот и детей, оставшихся без попечения родителей</w:t>
      </w:r>
      <w:r>
        <w:rPr>
          <w:rFonts w:ascii="PT Astra Serif" w:hAnsi="PT Astra Serif"/>
          <w:sz w:val="28"/>
        </w:rPr>
        <w:t>»</w:t>
      </w:r>
      <w:r>
        <w:rPr>
          <w:rFonts w:ascii="PT Astra Serif" w:hAnsi="PT Astra Serif"/>
          <w:sz w:val="28"/>
        </w:rPr>
        <w:t xml:space="preserve"> </w:t>
      </w:r>
      <w:r>
        <w:rPr>
          <w:rFonts w:ascii="PT Astra Serif" w:hAnsi="PT Astra Serif"/>
          <w:sz w:val="28"/>
        </w:rPr>
        <w:t>Правительство Республики Саха (Якутия)</w:t>
      </w:r>
      <w:r>
        <w:rPr>
          <w:rFonts w:ascii="PT Astra Serif" w:hAnsi="PT Astra Serif"/>
          <w:sz w:val="28"/>
        </w:rPr>
        <w:t xml:space="preserve"> </w:t>
      </w:r>
      <w:r>
        <w:rPr>
          <w:rFonts w:ascii="PT Astra Serif" w:hAnsi="PT Astra Serif"/>
          <w:spacing w:val="70"/>
          <w:sz w:val="28"/>
        </w:rPr>
        <w:t>постановля</w:t>
      </w:r>
      <w:r>
        <w:rPr>
          <w:rFonts w:ascii="PT Astra Serif" w:hAnsi="PT Astra Serif"/>
          <w:spacing w:val="70"/>
          <w:sz w:val="28"/>
        </w:rPr>
        <w:t>ет</w:t>
      </w:r>
      <w:r>
        <w:rPr>
          <w:rFonts w:ascii="PT Astra Serif" w:hAnsi="PT Astra Serif"/>
          <w:sz w:val="28"/>
        </w:rPr>
        <w:t>:</w:t>
      </w:r>
    </w:p>
    <w:p w14:paraId="0F000000">
      <w:pPr>
        <w:pStyle w:val="Style_3"/>
        <w:numPr>
          <w:ilvl w:val="0"/>
          <w:numId w:val="1"/>
        </w:numPr>
        <w:spacing w:line="360" w:lineRule="auto"/>
        <w:ind w:firstLine="709" w:left="0"/>
        <w:jc w:val="both"/>
        <w:rPr>
          <w:rFonts w:ascii="PT Astra Serif" w:hAnsi="PT Astra Serif"/>
          <w:sz w:val="28"/>
        </w:rPr>
      </w:pPr>
      <w:r>
        <w:rPr>
          <w:rFonts w:ascii="PT Astra Serif" w:hAnsi="PT Astra Serif"/>
          <w:sz w:val="28"/>
        </w:rPr>
        <w:t>Внести</w:t>
      </w:r>
      <w:r>
        <w:rPr>
          <w:rFonts w:ascii="PT Astra Serif" w:hAnsi="PT Astra Serif"/>
          <w:sz w:val="28"/>
        </w:rPr>
        <w:t xml:space="preserve"> </w:t>
      </w:r>
      <w:r>
        <w:rPr>
          <w:rFonts w:ascii="PT Astra Serif" w:hAnsi="PT Astra Serif"/>
          <w:sz w:val="28"/>
        </w:rPr>
        <w:t>изменение в</w:t>
      </w:r>
      <w:r>
        <w:rPr>
          <w:rFonts w:ascii="PT Astra Serif" w:hAnsi="PT Astra Serif"/>
          <w:sz w:val="28"/>
        </w:rPr>
        <w:t xml:space="preserve"> </w:t>
      </w:r>
      <w:r>
        <w:rPr>
          <w:rFonts w:ascii="PT Astra Serif" w:hAnsi="PT Astra Serif"/>
          <w:sz w:val="28"/>
        </w:rPr>
        <w:t>П</w:t>
      </w:r>
      <w:r>
        <w:rPr>
          <w:rFonts w:ascii="PT Astra Serif" w:hAnsi="PT Astra Serif"/>
          <w:sz w:val="28"/>
        </w:rPr>
        <w:t>орядок оказания государственной социальной помощи многодетным и приемным семьям, имеющим 10 и более несовершеннолетних детей, включая совершеннолетних детей в возрасте до 23 лет, обучающихся в образовательных организациях по очной форме обучения, для приобретения транспортного средства на основе социального контракта»</w:t>
      </w:r>
      <w:r>
        <w:rPr>
          <w:rFonts w:ascii="PT Astra Serif" w:hAnsi="PT Astra Serif"/>
          <w:sz w:val="28"/>
        </w:rPr>
        <w:t xml:space="preserve">, утвержденный </w:t>
      </w:r>
      <w:r>
        <w:rPr>
          <w:rFonts w:ascii="PT Astra Serif" w:hAnsi="PT Astra Serif"/>
          <w:sz w:val="28"/>
        </w:rPr>
        <w:t xml:space="preserve">постановлением Правительства Республики Саха (Якутия) </w:t>
      </w:r>
      <w:r>
        <w:rPr>
          <w:rFonts w:ascii="PT Astra Serif" w:hAnsi="PT Astra Serif"/>
          <w:sz w:val="28"/>
        </w:rPr>
        <w:t>от 25 октября 2012 года № 461, и</w:t>
      </w:r>
      <w:r>
        <w:rPr>
          <w:rFonts w:ascii="PT Astra Serif" w:hAnsi="PT Astra Serif"/>
          <w:sz w:val="28"/>
        </w:rPr>
        <w:t>зложив пункт 1.8 в следующей редакции:</w:t>
      </w:r>
    </w:p>
    <w:p w14:paraId="10000000">
      <w:pPr>
        <w:pStyle w:val="Style_3"/>
        <w:spacing w:line="360" w:lineRule="auto"/>
        <w:ind w:firstLine="709" w:left="0"/>
        <w:jc w:val="both"/>
        <w:rPr>
          <w:rFonts w:ascii="PT Astra Serif" w:hAnsi="PT Astra Serif"/>
          <w:sz w:val="28"/>
        </w:rPr>
      </w:pPr>
      <w:r>
        <w:rPr>
          <w:rFonts w:ascii="PT Astra Serif" w:hAnsi="PT Astra Serif"/>
          <w:sz w:val="28"/>
        </w:rPr>
        <w:t>«1</w:t>
      </w:r>
      <w:r>
        <w:rPr>
          <w:rFonts w:ascii="PT Astra Serif" w:hAnsi="PT Astra Serif"/>
          <w:sz w:val="28"/>
        </w:rPr>
        <w:t>.8. Повторное предоставление многодетным семьям единовременной денежной выплаты для приобретения транспортного средства лицам, ранее получившим транспортное средство за счет государственного бюджета Республики Саха (Якутия), или выплат на предоставление транспортного средства на основе социального контракта за счет государственного бюджета Республики Саха (Якутия) не допускается.</w:t>
      </w:r>
    </w:p>
    <w:p w14:paraId="11000000">
      <w:pPr>
        <w:pStyle w:val="Style_3"/>
        <w:spacing w:line="360" w:lineRule="auto"/>
        <w:ind w:firstLine="709" w:left="0"/>
        <w:jc w:val="both"/>
        <w:rPr>
          <w:rFonts w:ascii="PT Astra Serif" w:hAnsi="PT Astra Serif"/>
          <w:sz w:val="28"/>
        </w:rPr>
      </w:pPr>
      <w:r>
        <w:rPr>
          <w:rFonts w:ascii="PT Astra Serif" w:hAnsi="PT Astra Serif"/>
          <w:sz w:val="28"/>
        </w:rPr>
        <w:t xml:space="preserve">Приемным семьям, </w:t>
      </w:r>
      <w:r>
        <w:rPr>
          <w:rFonts w:ascii="PT Astra Serif" w:hAnsi="PT Astra Serif"/>
          <w:sz w:val="28"/>
        </w:rPr>
        <w:t>имеющим (воспитывающим) десять и более детей, в том числе детей-сирот и детей, оставшихся без попечения родителей, по договору о приемной семье,</w:t>
      </w:r>
      <w:r>
        <w:rPr>
          <w:rFonts w:ascii="PT Astra Serif" w:hAnsi="PT Astra Serif"/>
          <w:sz w:val="28"/>
        </w:rPr>
        <w:t xml:space="preserve"> предоставляется денежная выплата </w:t>
      </w:r>
      <w:r>
        <w:rPr>
          <w:rFonts w:ascii="PT Astra Serif" w:hAnsi="PT Astra Serif"/>
          <w:sz w:val="28"/>
        </w:rPr>
        <w:t xml:space="preserve">на основе социального контракта </w:t>
      </w:r>
      <w:r>
        <w:rPr>
          <w:rFonts w:ascii="PT Astra Serif" w:hAnsi="PT Astra Serif"/>
          <w:sz w:val="28"/>
        </w:rPr>
        <w:t xml:space="preserve">для приобретения транспортного средства </w:t>
      </w:r>
      <w:r>
        <w:rPr>
          <w:rFonts w:ascii="PT Astra Serif" w:hAnsi="PT Astra Serif"/>
          <w:sz w:val="28"/>
        </w:rPr>
        <w:t>один раз в 10 лет».</w:t>
      </w:r>
    </w:p>
    <w:p w14:paraId="12000000">
      <w:pPr>
        <w:pStyle w:val="Style_3"/>
        <w:spacing w:line="360" w:lineRule="auto"/>
        <w:ind w:firstLine="709" w:left="0"/>
        <w:jc w:val="both"/>
        <w:rPr>
          <w:rFonts w:ascii="PT Astra Serif" w:hAnsi="PT Astra Serif"/>
          <w:sz w:val="28"/>
        </w:rPr>
      </w:pPr>
      <w:r>
        <w:rPr>
          <w:rFonts w:ascii="PT Astra Serif" w:hAnsi="PT Astra Serif"/>
          <w:sz w:val="28"/>
        </w:rPr>
        <w:t>2</w:t>
      </w:r>
      <w:r>
        <w:rPr>
          <w:rFonts w:ascii="PT Astra Serif" w:hAnsi="PT Astra Serif"/>
          <w:sz w:val="28"/>
        </w:rPr>
        <w:t>.</w:t>
      </w:r>
      <w:r>
        <w:rPr>
          <w:rFonts w:ascii="PT Astra Serif" w:hAnsi="PT Astra Serif"/>
          <w:sz w:val="28"/>
        </w:rPr>
        <w:t> </w:t>
      </w:r>
      <w:r>
        <w:rPr>
          <w:rFonts w:ascii="PT Astra Serif" w:hAnsi="PT Astra Serif"/>
          <w:sz w:val="28"/>
        </w:rPr>
        <w:t>Опубликовать настоящее постановление в официальных средствах массовой информации</w:t>
      </w:r>
      <w:r>
        <w:rPr>
          <w:rFonts w:ascii="PT Astra Serif" w:hAnsi="PT Astra Serif"/>
          <w:sz w:val="28"/>
        </w:rPr>
        <w:t>.</w:t>
      </w:r>
    </w:p>
    <w:p w14:paraId="13000000">
      <w:pPr>
        <w:pStyle w:val="Style_3"/>
        <w:ind w:firstLine="708" w:left="708"/>
        <w:jc w:val="both"/>
        <w:rPr>
          <w:rFonts w:ascii="PT Astra Serif" w:hAnsi="PT Astra Serif"/>
          <w:sz w:val="28"/>
        </w:rPr>
      </w:pPr>
    </w:p>
    <w:p w14:paraId="14000000">
      <w:pPr>
        <w:pStyle w:val="Style_3"/>
        <w:ind w:firstLine="708" w:left="708"/>
        <w:jc w:val="both"/>
        <w:rPr>
          <w:rFonts w:ascii="PT Astra Serif" w:hAnsi="PT Astra Serif"/>
          <w:sz w:val="28"/>
        </w:rPr>
      </w:pPr>
    </w:p>
    <w:p w14:paraId="15000000">
      <w:pPr>
        <w:rPr>
          <w:rFonts w:ascii="PT Astra Serif" w:hAnsi="PT Astra Serif"/>
          <w:sz w:val="28"/>
        </w:rPr>
      </w:pPr>
      <w:r>
        <w:rPr>
          <w:rFonts w:ascii="PT Astra Serif" w:hAnsi="PT Astra Serif"/>
          <w:sz w:val="28"/>
        </w:rPr>
        <w:t>Председатель Правительства</w:t>
      </w:r>
    </w:p>
    <w:p w14:paraId="16000000">
      <w:pPr>
        <w:rPr>
          <w:rFonts w:ascii="PT Astra Serif" w:hAnsi="PT Astra Serif"/>
          <w:sz w:val="28"/>
        </w:rPr>
      </w:pPr>
      <w:r>
        <w:rPr>
          <w:rFonts w:ascii="PT Astra Serif" w:hAnsi="PT Astra Serif"/>
          <w:sz w:val="28"/>
        </w:rPr>
        <w:t>Республики Саха (Якутия)</w:t>
      </w:r>
      <w:r>
        <w:rPr>
          <w:rFonts w:ascii="PT Astra Serif" w:hAnsi="PT Astra Serif"/>
          <w:sz w:val="28"/>
        </w:rPr>
        <w:tab/>
      </w:r>
      <w:r>
        <w:rPr>
          <w:rFonts w:ascii="PT Astra Serif" w:hAnsi="PT Astra Serif"/>
          <w:sz w:val="28"/>
        </w:rPr>
        <w:t xml:space="preserve">    </w:t>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 xml:space="preserve">    </w:t>
      </w:r>
      <w:r>
        <w:rPr>
          <w:rFonts w:ascii="PT Astra Serif" w:hAnsi="PT Astra Serif"/>
          <w:sz w:val="28"/>
        </w:rPr>
        <w:t>А.</w:t>
      </w:r>
      <w:r>
        <w:rPr>
          <w:rFonts w:ascii="PT Astra Serif" w:hAnsi="PT Astra Serif"/>
          <w:sz w:val="28"/>
        </w:rPr>
        <w:t> </w:t>
      </w:r>
      <w:r>
        <w:rPr>
          <w:rFonts w:ascii="PT Astra Serif" w:hAnsi="PT Astra Serif"/>
          <w:sz w:val="28"/>
        </w:rPr>
        <w:t>ТАРАСЕНКО</w:t>
      </w:r>
    </w:p>
    <w:p w14:paraId="17000000">
      <w:pPr>
        <w:ind w:firstLine="709" w:left="0"/>
        <w:jc w:val="both"/>
        <w:rPr>
          <w:rFonts w:ascii="PT Astra Serif" w:hAnsi="PT Astra Serif"/>
          <w:sz w:val="28"/>
        </w:rPr>
      </w:pPr>
    </w:p>
    <w:sectPr>
      <w:headerReference r:id="rId1" w:type="default"/>
      <w:pgSz w:h="16838" w:orient="portrait" w:w="11906"/>
      <w:pgMar w:bottom="993" w:footer="708" w:gutter="0" w:header="708" w:left="1701" w:right="850" w:top="1134"/>
      <w:pgNumType w:start="1"/>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fldChar w:fldCharType="begin"/>
    </w:r>
    <w:r>
      <w:instrText xml:space="preserve">PAGE </w:instrText>
    </w:r>
    <w:r>
      <w:fldChar w:fldCharType="separate"/>
    </w:r>
    <w:r>
      <w:fldChar w:fldCharType="end"/>
    </w:r>
  </w:p>
  <w:p w14:paraId="01000000">
    <w:pPr>
      <w:pStyle w:val="Style_1"/>
      <w:ind/>
      <w:jc w:val="center"/>
    </w:pPr>
  </w:p>
  <w:p w14:paraId="02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1069"/>
      </w:pPr>
    </w:lvl>
    <w:lvl w:ilvl="1">
      <w:start w:val="1"/>
      <w:numFmt w:val="lowerLetter"/>
      <w:lvlText w:val="%2."/>
      <w:lvlJc w:val="left"/>
      <w:pPr>
        <w:ind w:hanging="360" w:left="1789"/>
      </w:pPr>
    </w:lvl>
    <w:lvl w:ilvl="2">
      <w:start w:val="1"/>
      <w:numFmt w:val="lowerRoman"/>
      <w:lvlText w:val="%3."/>
      <w:lvlJc w:val="right"/>
      <w:pPr>
        <w:ind w:hanging="180" w:left="2509"/>
      </w:pPr>
    </w:lvl>
    <w:lvl w:ilvl="3">
      <w:start w:val="1"/>
      <w:numFmt w:val="decimal"/>
      <w:lvlText w:val="%4."/>
      <w:lvlJc w:val="left"/>
      <w:pPr>
        <w:ind w:hanging="360" w:left="3229"/>
      </w:pPr>
    </w:lvl>
    <w:lvl w:ilvl="4">
      <w:start w:val="1"/>
      <w:numFmt w:val="lowerLetter"/>
      <w:lvlText w:val="%5."/>
      <w:lvlJc w:val="left"/>
      <w:pPr>
        <w:ind w:hanging="360" w:left="3949"/>
      </w:pPr>
    </w:lvl>
    <w:lvl w:ilvl="5">
      <w:start w:val="1"/>
      <w:numFmt w:val="lowerRoman"/>
      <w:lvlText w:val="%6."/>
      <w:lvlJc w:val="right"/>
      <w:pPr>
        <w:ind w:hanging="180" w:left="4669"/>
      </w:pPr>
    </w:lvl>
    <w:lvl w:ilvl="6">
      <w:start w:val="1"/>
      <w:numFmt w:val="decimal"/>
      <w:lvlText w:val="%7."/>
      <w:lvlJc w:val="left"/>
      <w:pPr>
        <w:ind w:hanging="360" w:left="5389"/>
      </w:pPr>
    </w:lvl>
    <w:lvl w:ilvl="7">
      <w:start w:val="1"/>
      <w:numFmt w:val="lowerLetter"/>
      <w:lvlText w:val="%8."/>
      <w:lvlJc w:val="left"/>
      <w:pPr>
        <w:ind w:hanging="360" w:left="6109"/>
      </w:pPr>
    </w:lvl>
    <w:lvl w:ilvl="8">
      <w:start w:val="1"/>
      <w:numFmt w:val="lowerRoman"/>
      <w:lvlText w:val="%9."/>
      <w:lvlJc w:val="right"/>
      <w:pPr>
        <w:ind w:hanging="180" w:left="6829"/>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pPr>
      <w:spacing w:after="0" w:line="240" w:lineRule="auto"/>
      <w:ind/>
    </w:pPr>
    <w:rPr>
      <w:rFonts w:ascii="Times New Roman" w:hAnsi="Times New Roman"/>
      <w:sz w:val="24"/>
    </w:rPr>
  </w:style>
  <w:style w:default="1" w:styleId="Style_4_ch" w:type="character">
    <w:name w:val="Normal"/>
    <w:link w:val="Style_4"/>
    <w:rPr>
      <w:rFonts w:ascii="Times New Roman" w:hAnsi="Times New Roman"/>
      <w:sz w:val="24"/>
    </w:rPr>
  </w:style>
  <w:style w:styleId="Style_5" w:type="paragraph">
    <w:name w:val="ConsPlusNormal"/>
    <w:link w:val="Style_5_ch"/>
    <w:pPr>
      <w:widowControl w:val="0"/>
      <w:spacing w:after="0" w:line="240" w:lineRule="auto"/>
      <w:ind/>
    </w:pPr>
    <w:rPr>
      <w:rFonts w:ascii="Calibri" w:hAnsi="Calibri"/>
    </w:rPr>
  </w:style>
  <w:style w:styleId="Style_5_ch" w:type="character">
    <w:name w:val="ConsPlusNormal"/>
    <w:link w:val="Style_5"/>
    <w:rPr>
      <w:rFonts w:ascii="Calibri" w:hAnsi="Calibri"/>
    </w:rPr>
  </w:style>
  <w:style w:styleId="Style_6" w:type="paragraph">
    <w:name w:val="toc 2"/>
    <w:next w:val="Style_4"/>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3" w:type="paragraph">
    <w:name w:val="List Paragraph"/>
    <w:basedOn w:val="Style_4"/>
    <w:link w:val="Style_3_ch"/>
    <w:pPr>
      <w:ind w:firstLine="0" w:left="720"/>
      <w:contextualSpacing w:val="1"/>
    </w:pPr>
  </w:style>
  <w:style w:styleId="Style_3_ch" w:type="character">
    <w:name w:val="List Paragraph"/>
    <w:basedOn w:val="Style_4_ch"/>
    <w:link w:val="Style_3"/>
  </w:style>
  <w:style w:styleId="Style_7" w:type="paragraph">
    <w:name w:val="HTML Preformatted"/>
    <w:basedOn w:val="Style_4"/>
    <w:link w:val="Style_7_ch"/>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sz w:val="20"/>
    </w:rPr>
  </w:style>
  <w:style w:styleId="Style_7_ch" w:type="character">
    <w:name w:val="HTML Preformatted"/>
    <w:basedOn w:val="Style_4_ch"/>
    <w:link w:val="Style_7"/>
    <w:rPr>
      <w:rFonts w:ascii="Courier New" w:hAnsi="Courier New"/>
      <w:sz w:val="20"/>
    </w:rPr>
  </w:style>
  <w:style w:styleId="Style_8" w:type="paragraph">
    <w:name w:val="toc 4"/>
    <w:next w:val="Style_4"/>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4"/>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Balloon Text"/>
    <w:basedOn w:val="Style_4"/>
    <w:link w:val="Style_10_ch"/>
    <w:rPr>
      <w:rFonts w:ascii="Arial" w:hAnsi="Arial"/>
      <w:sz w:val="18"/>
    </w:rPr>
  </w:style>
  <w:style w:styleId="Style_10_ch" w:type="character">
    <w:name w:val="Balloon Text"/>
    <w:basedOn w:val="Style_4_ch"/>
    <w:link w:val="Style_10"/>
    <w:rPr>
      <w:rFonts w:ascii="Arial" w:hAnsi="Arial"/>
      <w:sz w:val="18"/>
    </w:rPr>
  </w:style>
  <w:style w:styleId="Style_11" w:type="paragraph">
    <w:name w:val="toc 7"/>
    <w:next w:val="Style_4"/>
    <w:link w:val="Style_11_ch"/>
    <w:uiPriority w:val="39"/>
    <w:pPr>
      <w:ind w:firstLine="0" w:left="1200"/>
      <w:jc w:val="left"/>
    </w:pPr>
    <w:rPr>
      <w:rFonts w:ascii="XO Thames" w:hAnsi="XO Thames"/>
      <w:sz w:val="28"/>
    </w:rPr>
  </w:style>
  <w:style w:styleId="Style_11_ch" w:type="character">
    <w:name w:val="toc 7"/>
    <w:link w:val="Style_11"/>
    <w:rPr>
      <w:rFonts w:ascii="XO Thames" w:hAnsi="XO Thames"/>
      <w:sz w:val="28"/>
    </w:rPr>
  </w:style>
  <w:style w:styleId="Style_12" w:type="paragraph">
    <w:name w:val="footer"/>
    <w:basedOn w:val="Style_4"/>
    <w:link w:val="Style_12_ch"/>
    <w:pPr>
      <w:tabs>
        <w:tab w:leader="none" w:pos="4677" w:val="center"/>
        <w:tab w:leader="none" w:pos="9355" w:val="right"/>
      </w:tabs>
      <w:ind/>
    </w:pPr>
  </w:style>
  <w:style w:styleId="Style_12_ch" w:type="character">
    <w:name w:val="footer"/>
    <w:basedOn w:val="Style_4_ch"/>
    <w:link w:val="Style_12"/>
  </w:style>
  <w:style w:styleId="Style_13" w:type="paragraph">
    <w:name w:val="heading 3"/>
    <w:next w:val="Style_4"/>
    <w:link w:val="Style_13_ch"/>
    <w:uiPriority w:val="9"/>
    <w:qFormat/>
    <w:pPr>
      <w:spacing w:after="120" w:before="120"/>
      <w:ind/>
      <w:jc w:val="both"/>
      <w:outlineLvl w:val="2"/>
    </w:pPr>
    <w:rPr>
      <w:rFonts w:ascii="XO Thames" w:hAnsi="XO Thames"/>
      <w:b w:val="1"/>
      <w:sz w:val="26"/>
    </w:rPr>
  </w:style>
  <w:style w:styleId="Style_13_ch" w:type="character">
    <w:name w:val="heading 3"/>
    <w:link w:val="Style_13"/>
    <w:rPr>
      <w:rFonts w:ascii="XO Thames" w:hAnsi="XO Thames"/>
      <w:b w:val="1"/>
      <w:sz w:val="26"/>
    </w:rPr>
  </w:style>
  <w:style w:styleId="Style_14" w:type="paragraph">
    <w:name w:val="toc 3"/>
    <w:next w:val="Style_4"/>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heading 5"/>
    <w:basedOn w:val="Style_4"/>
    <w:next w:val="Style_4"/>
    <w:link w:val="Style_15_ch"/>
    <w:uiPriority w:val="9"/>
    <w:qFormat/>
    <w:pPr>
      <w:keepNext w:val="1"/>
      <w:keepLines w:val="1"/>
      <w:spacing w:before="40"/>
      <w:ind/>
      <w:outlineLvl w:val="4"/>
    </w:pPr>
    <w:rPr>
      <w:rFonts w:asciiTheme="majorAscii" w:hAnsiTheme="majorHAnsi"/>
      <w:color w:themeColor="accent1" w:themeShade="BF" w:val="2E75B5"/>
    </w:rPr>
  </w:style>
  <w:style w:styleId="Style_15_ch" w:type="character">
    <w:name w:val="heading 5"/>
    <w:basedOn w:val="Style_4_ch"/>
    <w:link w:val="Style_15"/>
    <w:rPr>
      <w:rFonts w:asciiTheme="majorAscii" w:hAnsiTheme="majorHAnsi"/>
      <w:color w:themeColor="accent1" w:themeShade="BF" w:val="2E75B5"/>
    </w:rPr>
  </w:style>
  <w:style w:styleId="Style_16" w:type="paragraph">
    <w:name w:val="heading 1"/>
    <w:next w:val="Style_4"/>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17" w:type="paragraph">
    <w:name w:val="Hyperlink"/>
    <w:link w:val="Style_17_ch"/>
    <w:rPr>
      <w:color w:val="0000FF"/>
      <w:u w:val="single"/>
    </w:rPr>
  </w:style>
  <w:style w:styleId="Style_17_ch" w:type="character">
    <w:name w:val="Hyperlink"/>
    <w:link w:val="Style_17"/>
    <w:rPr>
      <w:color w:val="0000FF"/>
      <w:u w:val="single"/>
    </w:rPr>
  </w:style>
  <w:style w:styleId="Style_18" w:type="paragraph">
    <w:name w:val="Footnote"/>
    <w:link w:val="Style_18_ch"/>
    <w:pPr>
      <w:ind w:firstLine="851" w:left="0"/>
      <w:jc w:val="both"/>
    </w:pPr>
    <w:rPr>
      <w:rFonts w:ascii="XO Thames" w:hAnsi="XO Thames"/>
      <w:sz w:val="22"/>
    </w:rPr>
  </w:style>
  <w:style w:styleId="Style_18_ch" w:type="character">
    <w:name w:val="Footnote"/>
    <w:link w:val="Style_18"/>
    <w:rPr>
      <w:rFonts w:ascii="XO Thames" w:hAnsi="XO Thames"/>
      <w:sz w:val="22"/>
    </w:rPr>
  </w:style>
  <w:style w:styleId="Style_19" w:type="paragraph">
    <w:name w:val="toc 1"/>
    <w:next w:val="Style_4"/>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spacing w:line="240" w:lineRule="auto"/>
      <w:ind/>
      <w:jc w:val="both"/>
    </w:pPr>
    <w:rPr>
      <w:rFonts w:ascii="XO Thames" w:hAnsi="XO Thames"/>
      <w:sz w:val="20"/>
    </w:rPr>
  </w:style>
  <w:style w:styleId="Style_20_ch" w:type="character">
    <w:name w:val="Header and Footer"/>
    <w:link w:val="Style_20"/>
    <w:rPr>
      <w:rFonts w:ascii="XO Thames" w:hAnsi="XO Thames"/>
      <w:sz w:val="20"/>
    </w:rPr>
  </w:style>
  <w:style w:styleId="Style_21" w:type="paragraph">
    <w:name w:val="toc 9"/>
    <w:next w:val="Style_4"/>
    <w:link w:val="Style_21_ch"/>
    <w:uiPriority w:val="39"/>
    <w:pPr>
      <w:ind w:firstLine="0" w:left="1600"/>
      <w:jc w:val="left"/>
    </w:pPr>
    <w:rPr>
      <w:rFonts w:ascii="XO Thames" w:hAnsi="XO Thames"/>
      <w:sz w:val="28"/>
    </w:rPr>
  </w:style>
  <w:style w:styleId="Style_21_ch" w:type="character">
    <w:name w:val="toc 9"/>
    <w:link w:val="Style_21"/>
    <w:rPr>
      <w:rFonts w:ascii="XO Thames" w:hAnsi="XO Thames"/>
      <w:sz w:val="28"/>
    </w:rPr>
  </w:style>
  <w:style w:styleId="Style_22" w:type="paragraph">
    <w:name w:val="toc 8"/>
    <w:next w:val="Style_4"/>
    <w:link w:val="Style_22_ch"/>
    <w:uiPriority w:val="39"/>
    <w:pPr>
      <w:ind w:firstLine="0" w:left="1400"/>
      <w:jc w:val="left"/>
    </w:pPr>
    <w:rPr>
      <w:rFonts w:ascii="XO Thames" w:hAnsi="XO Thames"/>
      <w:sz w:val="28"/>
    </w:rPr>
  </w:style>
  <w:style w:styleId="Style_22_ch" w:type="character">
    <w:name w:val="toc 8"/>
    <w:link w:val="Style_22"/>
    <w:rPr>
      <w:rFonts w:ascii="XO Thames" w:hAnsi="XO Thames"/>
      <w:sz w:val="28"/>
    </w:rPr>
  </w:style>
  <w:style w:styleId="Style_1" w:type="paragraph">
    <w:name w:val="header"/>
    <w:basedOn w:val="Style_4"/>
    <w:link w:val="Style_1_ch"/>
    <w:pPr>
      <w:tabs>
        <w:tab w:leader="none" w:pos="4677" w:val="center"/>
        <w:tab w:leader="none" w:pos="9355" w:val="right"/>
      </w:tabs>
      <w:ind/>
    </w:pPr>
  </w:style>
  <w:style w:styleId="Style_1_ch" w:type="character">
    <w:name w:val="header"/>
    <w:basedOn w:val="Style_4_ch"/>
    <w:link w:val="Style_1"/>
  </w:style>
  <w:style w:styleId="Style_23" w:type="paragraph">
    <w:name w:val="toc 5"/>
    <w:next w:val="Style_4"/>
    <w:link w:val="Style_23_ch"/>
    <w:uiPriority w:val="39"/>
    <w:pPr>
      <w:ind w:firstLine="0" w:left="800"/>
      <w:jc w:val="left"/>
    </w:pPr>
    <w:rPr>
      <w:rFonts w:ascii="XO Thames" w:hAnsi="XO Thames"/>
      <w:sz w:val="28"/>
    </w:rPr>
  </w:style>
  <w:style w:styleId="Style_23_ch" w:type="character">
    <w:name w:val="toc 5"/>
    <w:link w:val="Style_23"/>
    <w:rPr>
      <w:rFonts w:ascii="XO Thames" w:hAnsi="XO Thames"/>
      <w:sz w:val="28"/>
    </w:rPr>
  </w:style>
  <w:style w:styleId="Style_2" w:type="paragraph">
    <w:name w:val="ConsPlusTitle"/>
    <w:link w:val="Style_2_ch"/>
    <w:pPr>
      <w:widowControl w:val="0"/>
      <w:spacing w:after="0" w:line="240" w:lineRule="auto"/>
      <w:ind/>
    </w:pPr>
    <w:rPr>
      <w:rFonts w:ascii="Calibri" w:hAnsi="Calibri"/>
      <w:b w:val="1"/>
    </w:rPr>
  </w:style>
  <w:style w:styleId="Style_2_ch" w:type="character">
    <w:name w:val="ConsPlusTitle"/>
    <w:link w:val="Style_2"/>
    <w:rPr>
      <w:rFonts w:ascii="Calibri" w:hAnsi="Calibri"/>
      <w:b w:val="1"/>
    </w:rPr>
  </w:style>
  <w:style w:styleId="Style_24" w:type="paragraph">
    <w:name w:val="Subtitle"/>
    <w:next w:val="Style_4"/>
    <w:link w:val="Style_24_ch"/>
    <w:uiPriority w:val="11"/>
    <w:qFormat/>
    <w:pPr>
      <w:ind/>
      <w:jc w:val="both"/>
    </w:pPr>
    <w:rPr>
      <w:rFonts w:ascii="XO Thames" w:hAnsi="XO Thames"/>
      <w:i w:val="1"/>
      <w:sz w:val="24"/>
    </w:rPr>
  </w:style>
  <w:style w:styleId="Style_24_ch" w:type="character">
    <w:name w:val="Subtitle"/>
    <w:link w:val="Style_24"/>
    <w:rPr>
      <w:rFonts w:ascii="XO Thames" w:hAnsi="XO Thames"/>
      <w:i w:val="1"/>
      <w:sz w:val="24"/>
    </w:rPr>
  </w:style>
  <w:style w:styleId="Style_25" w:type="paragraph">
    <w:name w:val="Title"/>
    <w:next w:val="Style_4"/>
    <w:link w:val="Style_25_ch"/>
    <w:uiPriority w:val="10"/>
    <w:qFormat/>
    <w:pPr>
      <w:spacing w:after="567" w:before="567"/>
      <w:ind/>
      <w:jc w:val="center"/>
    </w:pPr>
    <w:rPr>
      <w:rFonts w:ascii="XO Thames" w:hAnsi="XO Thames"/>
      <w:b w:val="1"/>
      <w:caps w:val="1"/>
      <w:sz w:val="40"/>
    </w:rPr>
  </w:style>
  <w:style w:styleId="Style_25_ch" w:type="character">
    <w:name w:val="Title"/>
    <w:link w:val="Style_25"/>
    <w:rPr>
      <w:rFonts w:ascii="XO Thames" w:hAnsi="XO Thames"/>
      <w:b w:val="1"/>
      <w:caps w:val="1"/>
      <w:sz w:val="40"/>
    </w:rPr>
  </w:style>
  <w:style w:styleId="Style_26" w:type="paragraph">
    <w:name w:val="heading 4"/>
    <w:next w:val="Style_4"/>
    <w:link w:val="Style_26_ch"/>
    <w:uiPriority w:val="9"/>
    <w:qFormat/>
    <w:pPr>
      <w:spacing w:after="120" w:before="120"/>
      <w:ind/>
      <w:jc w:val="both"/>
      <w:outlineLvl w:val="3"/>
    </w:pPr>
    <w:rPr>
      <w:rFonts w:ascii="XO Thames" w:hAnsi="XO Thames"/>
      <w:b w:val="1"/>
      <w:sz w:val="24"/>
    </w:rPr>
  </w:style>
  <w:style w:styleId="Style_26_ch" w:type="character">
    <w:name w:val="heading 4"/>
    <w:link w:val="Style_26"/>
    <w:rPr>
      <w:rFonts w:ascii="XO Thames" w:hAnsi="XO Thames"/>
      <w:b w:val="1"/>
      <w:sz w:val="24"/>
    </w:rPr>
  </w:style>
  <w:style w:styleId="Style_27" w:type="paragraph">
    <w:name w:val="heading 2"/>
    <w:basedOn w:val="Style_4"/>
    <w:next w:val="Style_4"/>
    <w:link w:val="Style_27_ch"/>
    <w:uiPriority w:val="9"/>
    <w:qFormat/>
    <w:pPr>
      <w:keepNext w:val="1"/>
      <w:widowControl w:val="0"/>
      <w:spacing w:line="360" w:lineRule="auto"/>
      <w:ind/>
      <w:outlineLvl w:val="1"/>
    </w:pPr>
  </w:style>
  <w:style w:styleId="Style_27_ch" w:type="character">
    <w:name w:val="heading 2"/>
    <w:basedOn w:val="Style_4_ch"/>
    <w:link w:val="Style_27"/>
  </w:style>
  <w:style w:styleId="Style_28" w:type="paragraph">
    <w:name w:val="Default Paragraph Font"/>
    <w:link w:val="Style_28_ch"/>
  </w:style>
  <w:style w:styleId="Style_28_ch" w:type="character">
    <w:name w:val="Default Paragraph Font"/>
    <w:link w:val="Style_28"/>
  </w:style>
  <w:style w:styleId="Style_29" w:type="table">
    <w:name w:val="Table Grid"/>
    <w:basedOn w:val="Style_30"/>
    <w:pPr>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30"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8" Target="numbering.xml" Type="http://schemas.openxmlformats.org/officeDocument/2006/relationships/numbering"/>
  <Relationship Id="rId7" Target="theme/theme1.xml" Type="http://schemas.openxmlformats.org/officeDocument/2006/relationships/theme"/>
  <Relationship Id="rId6" Target="webSettings.xml" Type="http://schemas.openxmlformats.org/officeDocument/2006/relationships/webSettings"/>
  <Relationship Id="rId5" Target="stylesWithEffects.xml" Type="http://schemas.microsoft.com/office/2007/relationships/stylesWithEffects"/>
  <Relationship Id="rId4" Target="styles.xml" Type="http://schemas.openxmlformats.org/officeDocument/2006/relationships/styles"/>
  <Relationship Id="rId3" Target="settings.xml" Type="http://schemas.openxmlformats.org/officeDocument/2006/relationships/settings"/>
  <Relationship Id="rId2" Target="fontTable.xml" Type="http://schemas.openxmlformats.org/officeDocument/2006/relationships/fontTable"/>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MyOffice-CoreFramework-Linux/29-1028.734.7326.662.0@DESKTOP-CASSIOPEIA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2023-11-08T10:11:52Z</dcterms:modified>
</cp:coreProperties>
</file>