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ind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ПРОЕКТ</w:t>
      </w:r>
    </w:p>
    <w:p w14:paraId="04000000">
      <w:pPr>
        <w:ind/>
        <w:jc w:val="center"/>
        <w:rPr>
          <w:rFonts w:ascii="PT Astra Serif" w:hAnsi="PT Astra Serif"/>
          <w:b w:val="1"/>
          <w:sz w:val="28"/>
        </w:rPr>
      </w:pPr>
    </w:p>
    <w:p w14:paraId="05000000">
      <w:pPr>
        <w:ind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ПРАВИТЕЛЬСТВО РЕСПУБЛИКИ САХА (ЯКУТИЯ)</w:t>
      </w:r>
    </w:p>
    <w:p w14:paraId="06000000">
      <w:pPr>
        <w:ind/>
        <w:jc w:val="center"/>
        <w:rPr>
          <w:rFonts w:ascii="PT Astra Serif" w:hAnsi="PT Astra Serif"/>
          <w:b w:val="1"/>
          <w:sz w:val="28"/>
        </w:rPr>
      </w:pPr>
    </w:p>
    <w:p w14:paraId="07000000">
      <w:pPr>
        <w:ind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П О С Т А Н О В Л Е Н И Е</w:t>
      </w:r>
    </w:p>
    <w:p w14:paraId="08000000">
      <w:pPr>
        <w:ind/>
        <w:jc w:val="center"/>
        <w:rPr>
          <w:rFonts w:ascii="PT Astra Serif" w:hAnsi="PT Astra Serif"/>
          <w:b w:val="1"/>
          <w:sz w:val="28"/>
        </w:rPr>
      </w:pPr>
    </w:p>
    <w:p w14:paraId="09000000">
      <w:pPr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</w:t>
      </w:r>
      <w:r>
        <w:rPr>
          <w:rFonts w:ascii="PT Astra Serif" w:hAnsi="PT Astra Serif"/>
          <w:sz w:val="28"/>
        </w:rPr>
        <w:t>т «____» ______________ 2024</w:t>
      </w:r>
      <w:r>
        <w:rPr>
          <w:rFonts w:ascii="PT Astra Serif" w:hAnsi="PT Astra Serif"/>
          <w:sz w:val="28"/>
        </w:rPr>
        <w:t xml:space="preserve"> г. №_______</w:t>
      </w:r>
    </w:p>
    <w:p w14:paraId="0A000000">
      <w:pPr>
        <w:ind/>
        <w:jc w:val="center"/>
        <w:rPr>
          <w:rFonts w:ascii="PT Astra Serif" w:hAnsi="PT Astra Serif"/>
          <w:b w:val="1"/>
          <w:sz w:val="28"/>
        </w:rPr>
      </w:pPr>
    </w:p>
    <w:p w14:paraId="0B000000">
      <w:pPr>
        <w:ind/>
        <w:jc w:val="center"/>
        <w:rPr>
          <w:rFonts w:ascii="PT Astra Serif" w:hAnsi="PT Astra Serif"/>
          <w:b w:val="1"/>
          <w:sz w:val="28"/>
        </w:rPr>
      </w:pPr>
    </w:p>
    <w:p w14:paraId="0C000000">
      <w:pPr>
        <w:pStyle w:val="Style_2"/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Об утверждении </w:t>
      </w:r>
      <w:r>
        <w:rPr>
          <w:rFonts w:ascii="PT Astra Serif" w:hAnsi="PT Astra Serif"/>
          <w:sz w:val="28"/>
        </w:rPr>
        <w:t xml:space="preserve">Порядка </w:t>
      </w:r>
      <w:r>
        <w:rPr>
          <w:rFonts w:ascii="PT Astra Serif" w:hAnsi="PT Astra Serif"/>
          <w:sz w:val="28"/>
        </w:rPr>
        <w:t xml:space="preserve">предоставления компенсации стоимости путевки в санаторно-курортные организации - при наличии медицинских показаний, и стоимости проезда к месту лечения и обратно </w:t>
      </w:r>
      <w:r>
        <w:rPr>
          <w:rFonts w:ascii="PT Astra Serif" w:hAnsi="PT Astra Serif"/>
          <w:sz w:val="28"/>
        </w:rPr>
        <w:t xml:space="preserve">родителям, </w:t>
      </w:r>
      <w:r>
        <w:rPr>
          <w:rFonts w:ascii="PT Astra Serif" w:hAnsi="PT Astra Serif"/>
          <w:sz w:val="28"/>
        </w:rPr>
        <w:t>имеющим 5 и более приемных детей</w:t>
      </w:r>
    </w:p>
    <w:p w14:paraId="0D000000">
      <w:pPr>
        <w:spacing w:line="360" w:lineRule="auto"/>
        <w:ind w:firstLine="709" w:left="0"/>
        <w:jc w:val="both"/>
        <w:rPr>
          <w:rFonts w:ascii="PT Astra Serif" w:hAnsi="PT Astra Serif"/>
          <w:sz w:val="28"/>
        </w:rPr>
      </w:pPr>
    </w:p>
    <w:p w14:paraId="0E000000">
      <w:pPr>
        <w:spacing w:line="360" w:lineRule="auto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PT Astra Serif" w:hAnsi="PT Astra Serif"/>
          <w:sz w:val="28"/>
        </w:rPr>
        <w:t xml:space="preserve">В </w:t>
      </w:r>
      <w:r>
        <w:rPr>
          <w:rFonts w:ascii="PT Astra Serif" w:hAnsi="PT Astra Serif"/>
          <w:sz w:val="28"/>
        </w:rPr>
        <w:t xml:space="preserve">целях поддержки приемных семей, воспитывающих детей-сирот и детей, оставшихся без попечения родителей, </w:t>
      </w:r>
      <w:r>
        <w:rPr>
          <w:rFonts w:ascii="PT Astra Serif" w:hAnsi="PT Astra Serif"/>
          <w:sz w:val="28"/>
        </w:rPr>
        <w:t>П</w:t>
      </w:r>
      <w:r>
        <w:rPr>
          <w:rFonts w:ascii="PT Astra Serif" w:hAnsi="PT Astra Serif"/>
          <w:sz w:val="28"/>
        </w:rPr>
        <w:t>равительство Республики Саха (Якутия)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pacing w:val="70"/>
          <w:sz w:val="28"/>
        </w:rPr>
        <w:t>постановля</w:t>
      </w:r>
      <w:r>
        <w:rPr>
          <w:rFonts w:ascii="PT Astra Serif" w:hAnsi="PT Astra Serif"/>
          <w:spacing w:val="70"/>
          <w:sz w:val="28"/>
        </w:rPr>
        <w:t>ет</w:t>
      </w:r>
      <w:r>
        <w:rPr>
          <w:rFonts w:ascii="PT Astra Serif" w:hAnsi="PT Astra Serif"/>
          <w:sz w:val="28"/>
        </w:rPr>
        <w:t>:</w:t>
      </w:r>
    </w:p>
    <w:p w14:paraId="0F000000">
      <w:pPr>
        <w:pStyle w:val="Style_3"/>
        <w:numPr>
          <w:ilvl w:val="0"/>
          <w:numId w:val="1"/>
        </w:numPr>
        <w:spacing w:line="360" w:lineRule="auto"/>
        <w:ind w:firstLine="709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Утвердить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П</w:t>
      </w:r>
      <w:r>
        <w:rPr>
          <w:rFonts w:ascii="PT Astra Serif" w:hAnsi="PT Astra Serif"/>
          <w:sz w:val="28"/>
        </w:rPr>
        <w:t xml:space="preserve">орядок </w:t>
      </w:r>
      <w:r>
        <w:rPr>
          <w:rFonts w:ascii="PT Astra Serif" w:hAnsi="PT Astra Serif"/>
          <w:sz w:val="28"/>
        </w:rPr>
        <w:t xml:space="preserve">предоставления компенсации стоимости путевки в санаторно-курортные организации - при наличии медицинских показаний, и стоимости проезда к месту лечения и обратно </w:t>
      </w:r>
      <w:r>
        <w:rPr>
          <w:rFonts w:ascii="PT Astra Serif" w:hAnsi="PT Astra Serif"/>
          <w:sz w:val="28"/>
        </w:rPr>
        <w:t xml:space="preserve">родителям, </w:t>
      </w:r>
      <w:r>
        <w:rPr>
          <w:rFonts w:ascii="PT Astra Serif" w:hAnsi="PT Astra Serif"/>
          <w:sz w:val="28"/>
        </w:rPr>
        <w:t>имеющим 5 и более приемных детей</w:t>
      </w:r>
      <w:r>
        <w:rPr>
          <w:rFonts w:ascii="PT Astra Serif" w:hAnsi="PT Astra Serif"/>
          <w:sz w:val="28"/>
        </w:rPr>
        <w:t xml:space="preserve"> согласно приложению к настоящему постановлению.</w:t>
      </w:r>
    </w:p>
    <w:p w14:paraId="10000000">
      <w:pPr>
        <w:pStyle w:val="Style_3"/>
        <w:numPr>
          <w:ilvl w:val="0"/>
          <w:numId w:val="1"/>
        </w:numPr>
        <w:spacing w:line="360" w:lineRule="auto"/>
        <w:ind w:firstLine="709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Контроль исполнения настоящего постановления возложить на заместителя Председателя Правительства Республики Саха (Якутия) Степанова Г.М.</w:t>
      </w:r>
    </w:p>
    <w:p w14:paraId="11000000">
      <w:pPr>
        <w:pStyle w:val="Style_3"/>
        <w:numPr>
          <w:ilvl w:val="0"/>
          <w:numId w:val="1"/>
        </w:numPr>
        <w:spacing w:line="360" w:lineRule="auto"/>
        <w:ind w:firstLine="709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Опубликовать настоящее постановление в официальных средствах массовой информации</w:t>
      </w:r>
      <w:r>
        <w:rPr>
          <w:rFonts w:ascii="PT Astra Serif" w:hAnsi="PT Astra Serif"/>
          <w:sz w:val="28"/>
        </w:rPr>
        <w:t>.</w:t>
      </w:r>
    </w:p>
    <w:p w14:paraId="12000000">
      <w:pPr>
        <w:pStyle w:val="Style_3"/>
        <w:ind w:firstLine="708" w:left="708"/>
        <w:jc w:val="both"/>
        <w:rPr>
          <w:rFonts w:ascii="PT Astra Serif" w:hAnsi="PT Astra Serif"/>
          <w:sz w:val="28"/>
        </w:rPr>
      </w:pPr>
    </w:p>
    <w:p w14:paraId="13000000">
      <w:pPr>
        <w:pStyle w:val="Style_3"/>
        <w:ind w:firstLine="708" w:left="708"/>
        <w:jc w:val="both"/>
        <w:rPr>
          <w:rFonts w:ascii="PT Astra Serif" w:hAnsi="PT Astra Serif"/>
          <w:sz w:val="28"/>
        </w:rPr>
      </w:pPr>
    </w:p>
    <w:p w14:paraId="14000000">
      <w:pPr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Председатель Правительства</w:t>
      </w:r>
    </w:p>
    <w:p w14:paraId="15000000">
      <w:pPr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Республики Саха (Якутия)</w:t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 xml:space="preserve">    </w:t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 xml:space="preserve">    </w:t>
      </w:r>
      <w:r>
        <w:rPr>
          <w:rFonts w:ascii="PT Astra Serif" w:hAnsi="PT Astra Serif"/>
          <w:sz w:val="28"/>
        </w:rPr>
        <w:t>К. БЫЧКОВ</w:t>
      </w:r>
    </w:p>
    <w:p w14:paraId="16000000">
      <w:pPr>
        <w:ind w:firstLine="709" w:left="0"/>
        <w:jc w:val="right"/>
        <w:rPr>
          <w:rFonts w:ascii="PT Astra Serif" w:hAnsi="PT Astra Serif"/>
          <w:sz w:val="28"/>
        </w:rPr>
      </w:pPr>
      <w:r>
        <w:br w:type="page"/>
      </w:r>
      <w:r>
        <w:rPr>
          <w:rFonts w:ascii="PT Astra Serif" w:hAnsi="PT Astra Serif"/>
          <w:sz w:val="28"/>
        </w:rPr>
        <w:t>Утвержден</w:t>
      </w:r>
    </w:p>
    <w:p w14:paraId="17000000">
      <w:pPr>
        <w:pStyle w:val="Style_4"/>
        <w:spacing w:after="0" w:before="0" w:line="240" w:lineRule="auto"/>
        <w:ind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постановлением Правительства</w:t>
      </w:r>
    </w:p>
    <w:p w14:paraId="18000000">
      <w:pPr>
        <w:pStyle w:val="Style_4"/>
        <w:spacing w:after="0" w:before="0" w:line="240" w:lineRule="auto"/>
        <w:ind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Республики Саха (Якутия)</w:t>
      </w:r>
    </w:p>
    <w:p w14:paraId="19000000">
      <w:pPr>
        <w:pStyle w:val="Style_4"/>
        <w:spacing w:after="0" w:before="0" w:line="240" w:lineRule="auto"/>
        <w:ind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 «___» ________ 2024 г. №_____</w:t>
      </w:r>
    </w:p>
    <w:p w14:paraId="1A000000">
      <w:pPr>
        <w:pStyle w:val="Style_4"/>
        <w:spacing w:after="0" w:before="0" w:line="240" w:lineRule="auto"/>
        <w:ind/>
        <w:jc w:val="center"/>
        <w:rPr>
          <w:rFonts w:ascii="PT Astra Serif" w:hAnsi="PT Astra Serif"/>
          <w:b w:val="1"/>
          <w:sz w:val="28"/>
        </w:rPr>
      </w:pPr>
    </w:p>
    <w:p w14:paraId="1B000000">
      <w:pPr>
        <w:pStyle w:val="Style_4"/>
        <w:spacing w:after="0" w:before="0" w:line="240" w:lineRule="auto"/>
        <w:ind/>
        <w:jc w:val="center"/>
        <w:rPr>
          <w:rFonts w:ascii="PT Astra Serif" w:hAnsi="PT Astra Serif"/>
          <w:b w:val="1"/>
          <w:sz w:val="28"/>
        </w:rPr>
      </w:pPr>
    </w:p>
    <w:p w14:paraId="1C000000">
      <w:pPr>
        <w:pStyle w:val="Style_4"/>
        <w:spacing w:after="0" w:before="0" w:line="240" w:lineRule="auto"/>
        <w:ind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sz w:val="28"/>
        </w:rPr>
        <w:t>Порядок предоставления компенсации родителям, имеющим 5 и более приемных детей, на возмещение расходов на путевки в санаторно-курортные организации при наличии медицинских показаний с оплатой проезда к месту лечения и обратно</w:t>
      </w:r>
    </w:p>
    <w:p w14:paraId="1D000000">
      <w:pPr>
        <w:pStyle w:val="Style_4"/>
        <w:spacing w:after="0" w:before="0" w:line="240" w:lineRule="auto"/>
        <w:ind w:firstLine="709" w:left="0" w:right="0"/>
        <w:jc w:val="both"/>
        <w:rPr>
          <w:rFonts w:ascii="PT Astra Serif" w:hAnsi="PT Astra Serif"/>
          <w:sz w:val="28"/>
        </w:rPr>
      </w:pPr>
    </w:p>
    <w:p w14:paraId="1E000000">
      <w:pPr>
        <w:pStyle w:val="Style_4"/>
        <w:widowControl w:val="0"/>
        <w:numPr>
          <w:ilvl w:val="0"/>
          <w:numId w:val="0"/>
        </w:numPr>
        <w:spacing w:after="0" w:before="0" w:line="240" w:lineRule="auto"/>
        <w:ind w:firstLine="0" w:left="0" w:right="0"/>
        <w:jc w:val="center"/>
        <w:outlineLvl w:val="1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 Общие положения</w:t>
      </w:r>
    </w:p>
    <w:p w14:paraId="1F000000">
      <w:pPr>
        <w:pStyle w:val="Style_4"/>
        <w:widowControl w:val="0"/>
        <w:spacing w:after="0" w:before="0" w:line="276" w:lineRule="auto"/>
        <w:ind/>
        <w:rPr>
          <w:rFonts w:ascii="PT Astra Serif" w:hAnsi="PT Astra Serif"/>
          <w:sz w:val="28"/>
        </w:rPr>
      </w:pPr>
    </w:p>
    <w:p w14:paraId="20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1.1. Настоящий Порядок предоставления компенсации родителям, имеющим 5 и более приемных детей, на возмещение расходов на путевки в санаторно-курортные организации при наличии медицинских показаний с оплатой проезда к месту лечения и обратно (далее – Порядок) устанавливает порядок и условия предоставления компенсации стоимости путевок в санаторно-курортные организации при наличии медицинских показаний, а также компенсации стоимости проезда к месту лечения и обратно в случае самостоятельного приобретения путевок и оплаты проезда приемными родителями, воспитывающим 5 и более детей-сирот и детей, оставшихся без попечения родителей.</w:t>
      </w:r>
    </w:p>
    <w:p w14:paraId="21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1.2. Действие настоящего Порядка распространяется на приемных родителей, воспитывающих по договору о приемной семье 5 и более детей-сирот и детей, оставшихся без попечения родителей, проживающих на территории Республики Саха (Якутия), за исключением детей-сирот и детей, оставшихся без попечения родителей, проживающих в стационарных организациях для детей-сирот и детей, оставшихся без попечения родителей (далее – приемные родители).</w:t>
      </w:r>
    </w:p>
    <w:p w14:paraId="22000000">
      <w:pPr>
        <w:pStyle w:val="Style_4"/>
        <w:widowControl w:val="0"/>
        <w:spacing w:after="0" w:before="0" w:line="240" w:lineRule="auto"/>
        <w:ind/>
        <w:rPr>
          <w:rFonts w:ascii="PT Astra Serif" w:hAnsi="PT Astra Serif"/>
          <w:sz w:val="28"/>
        </w:rPr>
      </w:pPr>
    </w:p>
    <w:p w14:paraId="23000000">
      <w:pPr>
        <w:pStyle w:val="Style_4"/>
        <w:widowControl w:val="0"/>
        <w:numPr>
          <w:ilvl w:val="0"/>
          <w:numId w:val="0"/>
        </w:numPr>
        <w:spacing w:after="0" w:before="0" w:line="240" w:lineRule="auto"/>
        <w:ind w:firstLine="0" w:left="0" w:right="0"/>
        <w:jc w:val="center"/>
        <w:outlineLvl w:val="1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Условия компенсации стоимости путевок в санаторно-курортные организации при наличии медицинских показаний и стоимости проезда к месту лечения и обратно</w:t>
      </w:r>
    </w:p>
    <w:p w14:paraId="24000000">
      <w:pPr>
        <w:pStyle w:val="Style_4"/>
        <w:widowControl w:val="0"/>
        <w:spacing w:after="0" w:before="0" w:line="240" w:lineRule="auto"/>
        <w:ind/>
        <w:rPr>
          <w:rFonts w:ascii="PT Astra Serif" w:hAnsi="PT Astra Serif"/>
          <w:sz w:val="28"/>
        </w:rPr>
      </w:pPr>
    </w:p>
    <w:p w14:paraId="25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2.1. Право на предоставление компенсации стоимости путевок в санаторно-курортные организации при наличии медицинских показаний с оплатой проезда к месту лечения и обратно (далее - компенсация) имеют приемные родители в случае их самостоятельного приобретения 1 раз в 2 года на сумму, не превышающую 50.000 рублей на санаторно-курортное лечение.</w:t>
      </w:r>
    </w:p>
    <w:p w14:paraId="26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2.2. Компенсация производится при приобретении путевок при наличии медицинских показаний в санаторно-курортных организациях, расположенных на территории Российской Федерации и осуществляющих санаторно-курортную деятельность на основании лицензии, выданной в порядке, установленном законодательством.</w:t>
      </w:r>
    </w:p>
    <w:p w14:paraId="27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2.3. Компенсация предоставляется в размере фактических расходов на оплату путевки и проезда, подтвержденных документально, с учетом условий и требований, определенных настоящим Порядком.</w:t>
      </w:r>
    </w:p>
    <w:p w14:paraId="28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2.4. Право на компенсацию возникает у приемного родителя по истечении </w:t>
      </w:r>
      <w:r>
        <w:rPr>
          <w:rFonts w:ascii="PT Astra Serif" w:hAnsi="PT Astra Serif"/>
          <w:sz w:val="28"/>
        </w:rPr>
        <w:t>одного</w:t>
      </w:r>
      <w:r>
        <w:rPr>
          <w:rFonts w:ascii="PT Astra Serif" w:hAnsi="PT Astra Serif"/>
          <w:sz w:val="28"/>
        </w:rPr>
        <w:t xml:space="preserve"> года </w:t>
      </w:r>
      <w:r>
        <w:rPr>
          <w:rFonts w:ascii="PT Astra Serif" w:hAnsi="PT Astra Serif"/>
          <w:sz w:val="28"/>
        </w:rPr>
        <w:t>после заключения договора о</w:t>
      </w:r>
      <w:r>
        <w:rPr>
          <w:rFonts w:ascii="PT Astra Serif" w:hAnsi="PT Astra Serif"/>
          <w:sz w:val="28"/>
        </w:rPr>
        <w:t xml:space="preserve"> приемно</w:t>
      </w:r>
      <w:r>
        <w:rPr>
          <w:rFonts w:ascii="PT Astra Serif" w:hAnsi="PT Astra Serif"/>
          <w:sz w:val="28"/>
        </w:rPr>
        <w:t>й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семье</w:t>
      </w:r>
      <w:r>
        <w:rPr>
          <w:rFonts w:ascii="PT Astra Serif" w:hAnsi="PT Astra Serif"/>
          <w:sz w:val="28"/>
        </w:rPr>
        <w:t>, воспитывающе</w:t>
      </w:r>
      <w:r>
        <w:rPr>
          <w:rFonts w:ascii="PT Astra Serif" w:hAnsi="PT Astra Serif"/>
          <w:sz w:val="28"/>
        </w:rPr>
        <w:t>й</w:t>
      </w:r>
      <w:r>
        <w:rPr>
          <w:rFonts w:ascii="PT Astra Serif" w:hAnsi="PT Astra Serif"/>
          <w:sz w:val="28"/>
        </w:rPr>
        <w:t xml:space="preserve"> 5 и более приемных детей.</w:t>
      </w:r>
    </w:p>
    <w:p w14:paraId="29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2.5. Компенсация предоставляется один раз в два года.</w:t>
      </w:r>
    </w:p>
    <w:p w14:paraId="2A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2.6. Компенсация стоимости проезда к месту лечения и обратно предоставляется в случае проезда:</w:t>
      </w:r>
    </w:p>
    <w:p w14:paraId="2B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железнодорожным транспортом - поездами дальнего следования в плацкартных вагонах в поездах любой категории, поездами пригородного сообщения;</w:t>
      </w:r>
    </w:p>
    <w:p w14:paraId="2C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воздушным транспортом - самолетами в салоне экономического класса;</w:t>
      </w:r>
    </w:p>
    <w:p w14:paraId="2D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морским транспортом - на местах IV категории кают судов транспортных линий;</w:t>
      </w:r>
    </w:p>
    <w:p w14:paraId="2E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водным транспортом - на местах III категории кают судов транспортных маршрутов;</w:t>
      </w:r>
    </w:p>
    <w:p w14:paraId="2F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автомобильным транспортом - автобусами по маршрутам регулярных перевозок в городском, пригородном и междугородном сообщении.</w:t>
      </w:r>
    </w:p>
    <w:p w14:paraId="30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2.7. Стоимость проезда по всем промежуточным пунктам маршрута следования к месту лечения и обратно компенсируется при условии нахождения в промежуточных пунктах (без учета отмены, переноса или задержек рейсов, заболевания, а также иных обстоятельств непреодолимой силы): не более 5 суток для каждого населенного пункта по направлению туда и не более 5 суток для каждого населенного пункта по направлению обратно.</w:t>
      </w:r>
    </w:p>
    <w:p w14:paraId="31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2.8. Компенсация расходов, связанных с проездом к месту лечения и обратно, производится в пределах стоимости проезда, в том числе за пользование постельными принадлежностями, а также возмещаются установленные на транспорте дополнительные платы и сборы за исключением добровольного страхового сбора, а также других дополнительных услуг, направленных на повышение комфортности пассажиров, в том числе изменение классности проездного документа (билета), расходов, связанных с доставкой проездных документов (билетов), переоформлением проездных документов (билетов) по инициативе пассажира, доставкой багажа, сдачей проездного документа (билета) в связи с отказом от поездки (полета) или опозданием на поезд, самолет, автобус, морской, водный транспорт.</w:t>
      </w:r>
    </w:p>
    <w:p w14:paraId="32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2.9. Стоимость проезда к месту лечения и обратно компенсируется при условии прибытии к месту назначения не ранее 5 суток до начала лечения и отъезда не позднее 5 суток после окончания лечения.</w:t>
      </w:r>
    </w:p>
    <w:p w14:paraId="33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2.10. Компенсация предоставляется при обращении не позднее чем через 3 месяца с даты возвращения приемного родителя к месту жительства после лечения, указанной в проездных документах.</w:t>
      </w:r>
    </w:p>
    <w:p w14:paraId="34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2.11. Для предоставления компенсации в Управление (комплексный центр) социальной защиты населения и труда при Министерстве труда и социального развития Республики Саха (Якутия) по месту жительства приемного родителя (далее - Управление) представляются следующие документы:</w:t>
      </w:r>
    </w:p>
    <w:p w14:paraId="35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а) заявление о предоставлении компенсации стоимости путевки и проезда с указанием способа оплаты расходов (через отделение федеральной почтовой связи или российские кредитные организации), а также способа направления уведомления о принятом решении (по электронной почте, через Единый портал государственных и муниципальных услуг (функций) gosuslugi.ru и (или) Портал государственных и муниципальных услуг (функций) Республики Саха (Якутия) e-yakutia.ru; через многофункциональный центр или иным способом);</w:t>
      </w:r>
    </w:p>
    <w:p w14:paraId="36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б) паспорт гражданина Российской Федерации или иного документа, удостоверяющего личность приемного родителя;</w:t>
      </w:r>
    </w:p>
    <w:p w14:paraId="37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в) доверенность, подтверждающая полномочия представителя (в случае обращения с заявлением представителя по доверенности);</w:t>
      </w:r>
    </w:p>
    <w:p w14:paraId="38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г) согласие на обработку персональных данных;</w:t>
      </w:r>
    </w:p>
    <w:p w14:paraId="39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д) </w:t>
      </w:r>
      <w:r>
        <w:rPr>
          <w:rFonts w:ascii="PT Astra Serif" w:hAnsi="PT Astra Serif"/>
          <w:sz w:val="28"/>
        </w:rPr>
        <w:t>справка для получения путевки на санаторно-курортное лечение, выданной медицинской организацией, по форме № 070/у, утвержденной Приказом Министерства здравоохранения Российской Федерации от 15.12.2014 N 834н «Об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заполнению»;</w:t>
      </w:r>
    </w:p>
    <w:p w14:paraId="3A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е) платежный документ, подтверждающий оплату путевки в санаторно-курортную организацию ;</w:t>
      </w:r>
    </w:p>
    <w:p w14:paraId="3B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ж) договор на приобретение путевки в санаторно-курортную организацию;</w:t>
      </w:r>
    </w:p>
    <w:p w14:paraId="3C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з) использованные проездные документы, подтверждающие расходы на проезд:</w:t>
      </w:r>
    </w:p>
    <w:p w14:paraId="3D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 на автомобильном транспорте (пассажирский билет, багажная квитанция (квитанция на провоз ручной клади, оформленные организацией, осуществляющей перевозку, продажу проездных документов, на утвержденном бланке строгой отчетности, или электронный билет, оформленный посредством контрольно-кассовой техники или с использованием платежных карт без применения контрольно-кассовой техники);</w:t>
      </w:r>
    </w:p>
    <w:p w14:paraId="3E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 железнодорожным транспортом в плацкартном вагоне (пассажирский билет или контрольный купон электронного проездного документа (билета) (выписка из автоматизированной информационной системы управления пассажирскими перевозками на железнодорожном транспорте) с приложением чека или иного документа, оформленного на бланке строгой отчетности, подтверждающего произведенную оплату перевозки);</w:t>
      </w:r>
    </w:p>
    <w:p w14:paraId="3F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 внутренним водным транспортом (места в каюте III категории), (билет (путевка, билет на перевозку группы пассажиров), оформленные организацией, осуществляющей перевозку, продажу проездных документов, на утвержденном бланке строгой отчетности с приложением чека или иного документа, оформленного на бланке строгой отчетности, подтверждающего произведенную оплату перевозки);</w:t>
      </w:r>
    </w:p>
    <w:p w14:paraId="40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 воздушным транспортом в салоне экономического класса (пассажирский билет с посадочным талоном или электронный пассажирский билет (выписка из автоматизированной информационной системы оформления воздушных перевозок) с посадочным талоном (выписка из автоматизированной информационной системы оформления воздушных перевозок) с приложением чека или иного документа, оформленного на бланке строгой отчетности, подтверждающего произведенную оплату перевозки и провоза багажа);</w:t>
      </w:r>
    </w:p>
    <w:p w14:paraId="41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и) акт органа местного самоуправления муниципального района (городского округа) о назначении возмездной опеки;</w:t>
      </w:r>
    </w:p>
    <w:p w14:paraId="42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к) договор о приемной семье;</w:t>
      </w:r>
    </w:p>
    <w:p w14:paraId="43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л) справка органа местного самоуправления муниципального района (городского округа) о количестве детей, воспитывающихся по договору о приемной семье на дату выезда на санаторно-курортное лечение;</w:t>
      </w:r>
    </w:p>
    <w:p w14:paraId="44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м) копия страхового свидетельства обязательного пенсионного страхования.</w:t>
      </w:r>
    </w:p>
    <w:p w14:paraId="45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2.12. </w:t>
      </w:r>
      <w:r>
        <w:rPr>
          <w:rFonts w:ascii="PT Astra Serif" w:hAnsi="PT Astra Serif"/>
          <w:sz w:val="28"/>
        </w:rPr>
        <w:t>Документы, указанные в подпунктах «д», «е», «ж», «з» предоставляются в Управление в подлинниках.</w:t>
      </w:r>
    </w:p>
    <w:p w14:paraId="46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Документы, указанные в подпунктах «б», «и», «к», «л», «м» Управление запрашивает в рамках межведомственного взаимодействия.</w:t>
      </w:r>
    </w:p>
    <w:p w14:paraId="47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2.13. В случае если представленные проездные документы подтверждают произведенные расходы на проезд по более высокой категории проезда, чем установлено пунктом 2.6 Порядка, компенсация производится на основании справки о стоимости фактических расходов проезда в соответствии с установленной категорией проезда, выданной организацией, осуществляющей перевозку, продажу проездных документов, на дату приобретения билета. Расходы на получение указанной справки компенсации не подлежат.</w:t>
      </w:r>
    </w:p>
    <w:p w14:paraId="48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sz w:val="28"/>
        </w:rPr>
        <w:t xml:space="preserve">2.14. В случае если стоимость путевки в санаторно-курортную организацию превышает сумму, установленную п.2.1 Порядка, </w:t>
      </w:r>
      <w:r>
        <w:rPr>
          <w:rFonts w:ascii="PT Astra Serif" w:hAnsi="PT Astra Serif"/>
          <w:b w:val="0"/>
          <w:sz w:val="28"/>
        </w:rPr>
        <w:t xml:space="preserve">возмещение расходов производится исключительно в пределах размера, </w:t>
      </w:r>
      <w:r>
        <w:rPr>
          <w:rFonts w:ascii="PT Astra Serif" w:hAnsi="PT Astra Serif"/>
          <w:b w:val="0"/>
          <w:sz w:val="28"/>
        </w:rPr>
        <w:t>установленного п.2.1</w:t>
      </w:r>
      <w:r>
        <w:rPr>
          <w:rFonts w:ascii="PT Astra Serif" w:hAnsi="PT Astra Serif"/>
          <w:b w:val="0"/>
          <w:sz w:val="28"/>
        </w:rPr>
        <w:t>.</w:t>
      </w:r>
    </w:p>
    <w:p w14:paraId="49000000">
      <w:pPr>
        <w:pStyle w:val="Style_4"/>
        <w:widowControl w:val="0"/>
        <w:numPr>
          <w:ilvl w:val="0"/>
          <w:numId w:val="0"/>
        </w:numPr>
        <w:spacing w:after="0" w:before="0" w:line="240" w:lineRule="auto"/>
        <w:ind w:firstLine="0" w:left="0" w:right="0"/>
        <w:jc w:val="center"/>
        <w:outlineLvl w:val="1"/>
        <w:rPr>
          <w:rFonts w:ascii="PT Astra Serif" w:hAnsi="PT Astra Serif"/>
          <w:sz w:val="28"/>
        </w:rPr>
      </w:pPr>
    </w:p>
    <w:p w14:paraId="4A000000">
      <w:pPr>
        <w:pStyle w:val="Style_4"/>
        <w:widowControl w:val="0"/>
        <w:numPr>
          <w:ilvl w:val="0"/>
          <w:numId w:val="0"/>
        </w:numPr>
        <w:spacing w:after="0" w:before="0" w:line="240" w:lineRule="auto"/>
        <w:ind w:firstLine="0" w:left="0" w:right="0"/>
        <w:jc w:val="center"/>
        <w:outlineLvl w:val="1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 Порядок предоставления компенсации стоимости путевок в санаторно-курортные организации при наличии медицинских показаний, а также компенсации стоимости проезда к месту лечения и обратно в случае самостоятельного приобретения путевок и оплаты проезда приемными родителями</w:t>
      </w:r>
    </w:p>
    <w:p w14:paraId="4B000000">
      <w:pPr>
        <w:pStyle w:val="Style_4"/>
        <w:widowControl w:val="0"/>
        <w:spacing w:after="0" w:before="0" w:line="240" w:lineRule="auto"/>
        <w:ind w:firstLine="540" w:left="0" w:right="0"/>
        <w:jc w:val="both"/>
        <w:rPr>
          <w:rFonts w:ascii="PT Astra Serif" w:hAnsi="PT Astra Serif"/>
          <w:sz w:val="28"/>
        </w:rPr>
      </w:pPr>
    </w:p>
    <w:p w14:paraId="4C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3.1. Заявление о предоставлении компенсации (далее заявление) предоставляется лично заявителем - приемным родителем (далее - заявитель) либо его представителем по доверенности, оформленной в установленном порядке, </w:t>
      </w:r>
      <w:r>
        <w:rPr>
          <w:rFonts w:ascii="PT Astra Serif" w:hAnsi="PT Astra Serif"/>
          <w:sz w:val="28"/>
        </w:rPr>
        <w:t>в Управление по выбору заявителя:</w:t>
      </w:r>
    </w:p>
    <w:p w14:paraId="4D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 посредством Единого портала государственных и муниципальных услуг (функций) gosuslugi.ru и (или) Портала государственных и муниципальных услуг (функций) Республики Саха (Якутия) e-yakutia.ru;</w:t>
      </w:r>
    </w:p>
    <w:p w14:paraId="4E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 через территориальные обособленные структурные подразделения государственного автономного учреждения "Многофункциональный центр предоставления государственных и муниципальных услуг в Республике Саха (Якутия)" (далее многофункциональный центр);</w:t>
      </w:r>
    </w:p>
    <w:p w14:paraId="4F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- посредством личного обращения или </w:t>
      </w:r>
      <w:r>
        <w:rPr>
          <w:rFonts w:ascii="PT Astra Serif" w:hAnsi="PT Astra Serif"/>
          <w:sz w:val="28"/>
        </w:rPr>
        <w:t>путем направления по почте.</w:t>
      </w:r>
    </w:p>
    <w:p w14:paraId="50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3.2. Форма заявления утверждается приказом Министерства труда и социального развития Республики Саха (Якутия).</w:t>
      </w:r>
    </w:p>
    <w:p w14:paraId="51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3.3. К заявлению прилагаются </w:t>
      </w:r>
      <w:r>
        <w:rPr>
          <w:rFonts w:ascii="PT Astra Serif" w:hAnsi="PT Astra Serif"/>
          <w:sz w:val="28"/>
        </w:rPr>
        <w:t xml:space="preserve">подлинники </w:t>
      </w:r>
      <w:r>
        <w:rPr>
          <w:rFonts w:ascii="PT Astra Serif" w:hAnsi="PT Astra Serif"/>
          <w:sz w:val="28"/>
        </w:rPr>
        <w:t xml:space="preserve">платежных документов, подтверждающих оплату путевки в санаторно-курортную организацию, и </w:t>
      </w:r>
      <w:r>
        <w:rPr>
          <w:rFonts w:ascii="PT Astra Serif" w:hAnsi="PT Astra Serif"/>
          <w:sz w:val="28"/>
        </w:rPr>
        <w:t>проездных и перевозочных документов (билетов, багажных квитанций, других транспортных документов), подтверждающих расходы на проезд</w:t>
      </w:r>
      <w:r>
        <w:rPr>
          <w:rFonts w:ascii="PT Astra Serif" w:hAnsi="PT Astra Serif"/>
          <w:sz w:val="28"/>
        </w:rPr>
        <w:t>.</w:t>
      </w:r>
    </w:p>
    <w:p w14:paraId="52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3.4. В случае подачи заявления </w:t>
      </w:r>
      <w:r>
        <w:rPr>
          <w:rFonts w:ascii="PT Astra Serif" w:hAnsi="PT Astra Serif"/>
          <w:sz w:val="28"/>
        </w:rPr>
        <w:t>посредством Единого портала государственных и муниципальных услуг (функций) gosuslugi.ru и (или) Портала государственных и муниципальных услуг (функций) Республики Саха (Якутия) e-yakutia.ru заявитель в течение 5 рабочих дней предоставляет в Управление подлинники проездных и платежных документов.</w:t>
      </w:r>
    </w:p>
    <w:p w14:paraId="53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случае использования почтовой связи с заявлением направляются копии документов, заверенные в установленном законодательством Российской Федерации порядке, и оригиналы использованных проездных и платежных документов.</w:t>
      </w:r>
    </w:p>
    <w:p w14:paraId="54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При предоставлении заявителем лично оригиналов документов специалистом Управления (специалистом многофункционального центра) снимаются копии с представленных документов, выполняется надпись об их соответствии подлинным экземплярам, которая заверяется подписью специалиста Управления (специалиста многофункционального центра) с указанием занимаемой должности, фамилии и инициалов, печатью. </w:t>
      </w:r>
    </w:p>
    <w:p w14:paraId="55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Оригиналы документов за исключением проездных и платежных документов возвращаются заявителю в день их представления.</w:t>
      </w:r>
    </w:p>
    <w:p w14:paraId="56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3.5. Днем обращения считается день регистрации заявления со всеми документами, указанными в пункте 2.11 настоящего Порядка.</w:t>
      </w:r>
    </w:p>
    <w:p w14:paraId="57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Если заявление со всеми документами пересылается по почте либо подается через многофункциональный центр, либо представляется в форме электронного документа, днем обращения считается дата, указанная на почтовом штемпеле организации федеральной почтовой связи по месту отправления, либо дата приема заявления многофункциональным центром.</w:t>
      </w:r>
    </w:p>
    <w:p w14:paraId="58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При подаче заявления через Единый портал государственных и муниципальных услуг (функций) gosuslugi.ru и (или) Портал государственных и муниципальных услуг (функций) Республики Саха (Якутия) e-yakutia.ru </w:t>
      </w:r>
      <w:r>
        <w:rPr>
          <w:rFonts w:ascii="PT Astra Serif" w:hAnsi="PT Astra Serif"/>
          <w:sz w:val="28"/>
        </w:rPr>
        <w:t xml:space="preserve">днем обращения считается дата предоставления заявителем </w:t>
      </w:r>
      <w:r>
        <w:rPr>
          <w:rFonts w:ascii="PT Astra Serif" w:hAnsi="PT Astra Serif"/>
          <w:sz w:val="28"/>
        </w:rPr>
        <w:t>подлинников проездных и платежных документов.</w:t>
      </w:r>
    </w:p>
    <w:p w14:paraId="59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3.6. Решение о предоставлении компенсации принимается Управлением не позднее 10 рабочих дней со дня регистрации заявления.</w:t>
      </w:r>
    </w:p>
    <w:p w14:paraId="5A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3.7. Уведомление о принятом решении направляется заявителю не позднее 3 рабочих дней со дня принятия соответствующего решения:</w:t>
      </w:r>
    </w:p>
    <w:p w14:paraId="5B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посредством почтовой связи по адресу, указанному в заявлении, - в случае представления документов в Управление, либо через почту;</w:t>
      </w:r>
    </w:p>
    <w:p w14:paraId="5C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многофункциональный центр - в случае представления документов через многофункциональный центр;</w:t>
      </w:r>
    </w:p>
    <w:p w14:paraId="5D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личный кабинет заявителя - в случае представления документов в форме электронных документов с использованием Единого портала государственных и муниципальных услуг (функций) gosuslugi.ru и (или) Портала государственных и муниципальных услуг (функций) Республики Саха (Якутия) e-yakutia.ru;</w:t>
      </w:r>
    </w:p>
    <w:p w14:paraId="5E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иным способом, указанным в заявлении.</w:t>
      </w:r>
    </w:p>
    <w:p w14:paraId="5F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случае отказа в удовлетворении заявления Управление уведомляет об этом заявителя с указанием причин отказа и порядка обжалования вынесенного решения.</w:t>
      </w:r>
    </w:p>
    <w:p w14:paraId="60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3.8. Основаниями для отказа в предоставлении компенсации являются:</w:t>
      </w:r>
    </w:p>
    <w:p w14:paraId="61000000">
      <w:pPr>
        <w:pStyle w:val="Style_4"/>
        <w:widowControl w:val="0"/>
        <w:numPr>
          <w:numId w:val="2"/>
        </w:numPr>
        <w:spacing w:after="0" w:before="0" w:line="276" w:lineRule="auto"/>
        <w:ind w:firstLine="567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отсутствие у заявителя права на получение компенсации стоимости путевки и проезда к месту лечения и обратно в санаторно-курортную организацию;</w:t>
      </w:r>
    </w:p>
    <w:p w14:paraId="62000000">
      <w:pPr>
        <w:pStyle w:val="Style_4"/>
        <w:widowControl w:val="0"/>
        <w:numPr>
          <w:numId w:val="2"/>
        </w:numPr>
        <w:spacing w:after="0" w:before="0" w:line="276" w:lineRule="auto"/>
        <w:ind w:firstLine="567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непредставление заявителем документов, указанных в пункте 2.11 настоящего Порядка (за исключением документов, запрашиваемых в рамках межведомственного взаимодействия);</w:t>
      </w:r>
    </w:p>
    <w:p w14:paraId="63000000">
      <w:pPr>
        <w:pStyle w:val="Style_4"/>
        <w:widowControl w:val="0"/>
        <w:numPr>
          <w:numId w:val="2"/>
        </w:numPr>
        <w:spacing w:after="0" w:before="0" w:line="276" w:lineRule="auto"/>
        <w:ind w:firstLine="567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предоставление компенсации стоимости путевки и проезда к месту лечения и обратно в санаторно-курортную организацию в текущем году;</w:t>
      </w:r>
    </w:p>
    <w:p w14:paraId="64000000">
      <w:pPr>
        <w:pStyle w:val="Style_4"/>
        <w:widowControl w:val="0"/>
        <w:numPr>
          <w:numId w:val="2"/>
        </w:numPr>
        <w:spacing w:after="0" w:before="0" w:line="276" w:lineRule="auto"/>
        <w:ind w:firstLine="567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обращение за предоставлением компенсации позже чем через 3 месяца с даты возвращения заявителя к месту жительства после лечения, указанной в проездных документах</w:t>
      </w:r>
      <w:r>
        <w:rPr>
          <w:rFonts w:ascii="PT Astra Serif" w:hAnsi="PT Astra Serif"/>
          <w:sz w:val="28"/>
        </w:rPr>
        <w:t>.</w:t>
      </w:r>
    </w:p>
    <w:p w14:paraId="65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3.9. Управление б</w:t>
      </w:r>
      <w:r>
        <w:rPr>
          <w:rFonts w:ascii="PT Astra Serif" w:hAnsi="PT Astra Serif"/>
          <w:sz w:val="28"/>
        </w:rPr>
        <w:t>рошюрует документы заявителя в личное дело, хранящееся в Управлении.</w:t>
      </w:r>
    </w:p>
    <w:p w14:paraId="66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3.10. Управление формирует и направляет заявку в государственное казенное учреждение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 с указанием Ф.И.О. заявителя, номера лицевого счета, данных для доставки через отделение федеральной почтовой связи и размера компенсации (при наличии заявлений) не позднее 5 рабочих дней после принятия решения о предоставлении компенсации.</w:t>
      </w:r>
    </w:p>
    <w:p w14:paraId="67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3.11. Государственным казенным учреждением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 перечисление денежных средств компенсации на лицевой счет заявителя или путем доставки через отделение федеральной почтовой связи производится не позднее 3 рабочих дней после получения от Управления заявки, указанной в пункте 2.18 настоящего Порядка.</w:t>
      </w:r>
    </w:p>
    <w:p w14:paraId="68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3.12. Бюджетные средства на указанные цели предусматриваются в установленном порядке главному распорядителю бюджетных средств - Министерству труда и социального развития Республики Саха (Якутия) в пределах объемов бюджетной росписи на соответствующий финансовый год.</w:t>
      </w:r>
    </w:p>
    <w:p w14:paraId="69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3.13. Министерство труда и социального развития Республики Саха (Якутия) доводит в установленном порядке объемы бюджетных ассигнований и лимиты бюджетных обязательств до уполномоченного получателя бюджетных средств.</w:t>
      </w:r>
    </w:p>
    <w:p w14:paraId="6A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3.14. Уполномоченным получателем бюджетных средств является государственное казенное учреждение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(Якутия)».</w:t>
      </w:r>
    </w:p>
    <w:p w14:paraId="6B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3.15. Средства компенсации перечисляются государственным казенным учреждением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 на лицевой счет заявителя.</w:t>
      </w:r>
    </w:p>
    <w:p w14:paraId="6C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3.16. Переплата суммы компенсации вследствие представления заявителями документов с заведомо неверными сведениями, сокрытия данных, влияющих на право предоставления компенсации или на исчисление ее размеров, возмещается заявителями самостоятельно, в том числе на основании уведомления Управления, а в случае спора - взыскивается в судебном порядке.</w:t>
      </w:r>
    </w:p>
    <w:p w14:paraId="6D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3.17. Возврат излишне выплаченных сумм производится путем перечисления денежных средств на расчетный счет государственного казенного учреждения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(Якутия)».</w:t>
      </w:r>
    </w:p>
    <w:p w14:paraId="6E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3.18. Споры по вопросам предоставления компенсации разрешаются в порядке, установленном законодательством Российской Федерации.</w:t>
      </w:r>
    </w:p>
    <w:p w14:paraId="6F000000">
      <w:pPr>
        <w:pStyle w:val="Style_4"/>
        <w:widowControl w:val="0"/>
        <w:spacing w:after="0" w:before="0" w:line="276" w:lineRule="auto"/>
        <w:ind w:firstLine="540" w:left="0" w:right="0"/>
        <w:jc w:val="both"/>
        <w:rPr>
          <w:rFonts w:ascii="PT Astra Serif" w:hAnsi="PT Astra Serif"/>
          <w:sz w:val="28"/>
        </w:rPr>
      </w:pPr>
    </w:p>
    <w:p w14:paraId="70000000">
      <w:pPr>
        <w:pStyle w:val="Style_4"/>
        <w:widowControl w:val="0"/>
        <w:spacing w:after="0" w:before="0" w:line="276" w:lineRule="auto"/>
        <w:ind w:firstLine="0" w:left="0" w:right="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</w:t>
      </w:r>
    </w:p>
    <w:p w14:paraId="71000000">
      <w:pPr>
        <w:ind w:firstLine="709" w:left="0"/>
        <w:jc w:val="both"/>
        <w:rPr>
          <w:rFonts w:ascii="PT Astra Serif" w:hAnsi="PT Astra Serif"/>
          <w:sz w:val="28"/>
        </w:rPr>
      </w:pPr>
    </w:p>
    <w:sectPr>
      <w:headerReference r:id="rId1" w:type="default"/>
      <w:pgSz w:h="16838" w:orient="portrait" w:w="11906"/>
      <w:pgMar w:bottom="993" w:footer="708" w:gutter="0" w:header="708" w:left="1701" w:right="850" w:top="1134"/>
      <w:pgNumType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center"/>
    </w:pPr>
  </w:p>
  <w:p w14:paraId="02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1069"/>
      </w:pPr>
    </w:lvl>
    <w:lvl w:ilvl="1">
      <w:start w:val="1"/>
      <w:numFmt w:val="lowerLetter"/>
      <w:lvlText w:val="%2."/>
      <w:lvlJc w:val="left"/>
      <w:pPr>
        <w:ind w:hanging="360" w:left="1789"/>
      </w:pPr>
    </w:lvl>
    <w:lvl w:ilvl="2">
      <w:start w:val="1"/>
      <w:numFmt w:val="lowerRoman"/>
      <w:lvlText w:val="%3."/>
      <w:lvlJc w:val="right"/>
      <w:pPr>
        <w:ind w:hanging="180" w:left="2509"/>
      </w:pPr>
    </w:lvl>
    <w:lvl w:ilvl="3">
      <w:start w:val="1"/>
      <w:numFmt w:val="decimal"/>
      <w:lvlText w:val="%4."/>
      <w:lvlJc w:val="left"/>
      <w:pPr>
        <w:ind w:hanging="360" w:left="3229"/>
      </w:pPr>
    </w:lvl>
    <w:lvl w:ilvl="4">
      <w:start w:val="1"/>
      <w:numFmt w:val="lowerLetter"/>
      <w:lvlText w:val="%5."/>
      <w:lvlJc w:val="left"/>
      <w:pPr>
        <w:ind w:hanging="360" w:left="3949"/>
      </w:pPr>
    </w:lvl>
    <w:lvl w:ilvl="5">
      <w:start w:val="1"/>
      <w:numFmt w:val="lowerRoman"/>
      <w:lvlText w:val="%6."/>
      <w:lvlJc w:val="right"/>
      <w:pPr>
        <w:ind w:hanging="180" w:left="4669"/>
      </w:pPr>
    </w:lvl>
    <w:lvl w:ilvl="6">
      <w:start w:val="1"/>
      <w:numFmt w:val="decimal"/>
      <w:lvlText w:val="%7."/>
      <w:lvlJc w:val="left"/>
      <w:pPr>
        <w:ind w:hanging="360" w:left="5389"/>
      </w:pPr>
    </w:lvl>
    <w:lvl w:ilvl="7">
      <w:start w:val="1"/>
      <w:numFmt w:val="lowerLetter"/>
      <w:lvlText w:val="%8."/>
      <w:lvlJc w:val="left"/>
      <w:pPr>
        <w:ind w:hanging="360" w:left="6109"/>
      </w:pPr>
    </w:lvl>
    <w:lvl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1">
    <w:lvl w:ilvl="0">
      <w:start w:val="1"/>
      <w:numFmt w:val="russianLower"/>
      <w:lvlText w:val="%1)"/>
      <w:pPr>
        <w:ind w:hanging="360" w:left="720"/>
      </w:pPr>
    </w:lvl>
    <w:lvl w:ilvl="1">
      <w:start w:val="1"/>
      <w:numFmt w:val="decimal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pPr>
        <w:ind w:hanging="360" w:left="2880"/>
      </w:pPr>
    </w:lvl>
    <w:lvl w:ilvl="4">
      <w:start w:val="1"/>
      <w:numFmt w:val="decimal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pPr>
        <w:ind w:hanging="360" w:left="5040"/>
      </w:pPr>
    </w:lvl>
    <w:lvl w:ilvl="7">
      <w:start w:val="1"/>
      <w:numFmt w:val="decimal"/>
      <w:lvlText w:val="%8)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4_ch" w:type="character">
    <w:name w:val="Normal"/>
    <w:link w:val="Style_4"/>
    <w:rPr>
      <w:rFonts w:ascii="Times New Roman" w:hAnsi="Times New Roman"/>
      <w:sz w:val="24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heading 3"/>
    <w:next w:val="Style_4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Balloon Text"/>
    <w:basedOn w:val="Style_4"/>
    <w:link w:val="Style_10_ch"/>
    <w:rPr>
      <w:rFonts w:ascii="Arial" w:hAnsi="Arial"/>
      <w:sz w:val="18"/>
    </w:rPr>
  </w:style>
  <w:style w:styleId="Style_10_ch" w:type="character">
    <w:name w:val="Balloon Text"/>
    <w:basedOn w:val="Style_4_ch"/>
    <w:link w:val="Style_10"/>
    <w:rPr>
      <w:rFonts w:ascii="Arial" w:hAnsi="Arial"/>
      <w:sz w:val="18"/>
    </w:rPr>
  </w:style>
  <w:style w:styleId="Style_3" w:type="paragraph">
    <w:name w:val="List Paragraph"/>
    <w:basedOn w:val="Style_4"/>
    <w:link w:val="Style_3_ch"/>
    <w:pPr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1" w:type="paragraph">
    <w:name w:val="toc 3"/>
    <w:next w:val="Style_4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footer"/>
    <w:basedOn w:val="Style_4"/>
    <w:link w:val="Style_12_ch"/>
    <w:pPr>
      <w:tabs>
        <w:tab w:leader="none" w:pos="4677" w:val="center"/>
        <w:tab w:leader="none" w:pos="9355" w:val="right"/>
      </w:tabs>
      <w:ind/>
    </w:pPr>
  </w:style>
  <w:style w:styleId="Style_12_ch" w:type="character">
    <w:name w:val="footer"/>
    <w:basedOn w:val="Style_4_ch"/>
    <w:link w:val="Style_12"/>
  </w:style>
  <w:style w:styleId="Style_13" w:type="paragraph">
    <w:name w:val="ConsPlusNormal"/>
    <w:link w:val="Style_13_ch"/>
    <w:pPr>
      <w:widowControl w:val="0"/>
      <w:spacing w:after="0" w:line="240" w:lineRule="auto"/>
      <w:ind/>
    </w:pPr>
    <w:rPr>
      <w:rFonts w:ascii="Calibri" w:hAnsi="Calibri"/>
    </w:rPr>
  </w:style>
  <w:style w:styleId="Style_13_ch" w:type="character">
    <w:name w:val="ConsPlusNormal"/>
    <w:link w:val="Style_13"/>
    <w:rPr>
      <w:rFonts w:ascii="Calibri" w:hAnsi="Calibri"/>
    </w:rPr>
  </w:style>
  <w:style w:styleId="Style_14" w:type="paragraph">
    <w:name w:val="heading 5"/>
    <w:basedOn w:val="Style_4"/>
    <w:next w:val="Style_4"/>
    <w:link w:val="Style_14_ch"/>
    <w:uiPriority w:val="9"/>
    <w:qFormat/>
    <w:pPr>
      <w:keepNext w:val="1"/>
      <w:keepLines w:val="1"/>
      <w:spacing w:before="40"/>
      <w:ind/>
      <w:outlineLvl w:val="4"/>
    </w:pPr>
    <w:rPr>
      <w:rFonts w:asciiTheme="majorAscii" w:hAnsiTheme="majorHAnsi"/>
      <w:color w:themeColor="accent1" w:themeShade="BF" w:val="2E75B5"/>
    </w:rPr>
  </w:style>
  <w:style w:styleId="Style_14_ch" w:type="character">
    <w:name w:val="heading 5"/>
    <w:basedOn w:val="Style_4_ch"/>
    <w:link w:val="Style_14"/>
    <w:rPr>
      <w:rFonts w:asciiTheme="majorAscii" w:hAnsiTheme="majorHAnsi"/>
      <w:color w:themeColor="accent1" w:themeShade="BF" w:val="2E75B5"/>
    </w:rPr>
  </w:style>
  <w:style w:styleId="Style_15" w:type="paragraph">
    <w:name w:val="heading 1"/>
    <w:next w:val="Style_4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2" w:type="paragraph">
    <w:name w:val="ConsPlusTitle"/>
    <w:link w:val="Style_2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2_ch" w:type="character">
    <w:name w:val="ConsPlusTitle"/>
    <w:link w:val="Style_2"/>
    <w:rPr>
      <w:rFonts w:ascii="Calibri" w:hAnsi="Calibri"/>
      <w:b w:val="1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1" w:type="paragraph">
    <w:name w:val="header"/>
    <w:basedOn w:val="Style_4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4_ch"/>
    <w:link w:val="Style_1"/>
  </w:style>
  <w:style w:styleId="Style_23" w:type="paragraph">
    <w:name w:val="toc 5"/>
    <w:next w:val="Style_4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HTML Preformatted"/>
    <w:basedOn w:val="Style_4"/>
    <w:link w:val="Style_24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24_ch" w:type="character">
    <w:name w:val="HTML Preformatted"/>
    <w:basedOn w:val="Style_4_ch"/>
    <w:link w:val="Style_24"/>
    <w:rPr>
      <w:rFonts w:ascii="Courier New" w:hAnsi="Courier New"/>
      <w:sz w:val="20"/>
    </w:rPr>
  </w:style>
  <w:style w:styleId="Style_25" w:type="paragraph">
    <w:name w:val="Subtitle"/>
    <w:next w:val="Style_4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4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4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basedOn w:val="Style_4"/>
    <w:next w:val="Style_4"/>
    <w:link w:val="Style_28_ch"/>
    <w:uiPriority w:val="9"/>
    <w:qFormat/>
    <w:pPr>
      <w:keepNext w:val="1"/>
      <w:widowControl w:val="0"/>
      <w:spacing w:line="360" w:lineRule="auto"/>
      <w:ind/>
      <w:outlineLvl w:val="1"/>
    </w:pPr>
  </w:style>
  <w:style w:styleId="Style_28_ch" w:type="character">
    <w:name w:val="heading 2"/>
    <w:basedOn w:val="Style_4_ch"/>
    <w:link w:val="Style_28"/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0" w:type="table">
    <w:name w:val="Table Grid"/>
    <w:basedOn w:val="Style_29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MyOffice-CoreFramework-Linux/29-1028.734.7326.662.0@DESKTOP-CASSIOPEIA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2024-05-27T10:36:32Z</dcterms:modified>
</cp:coreProperties>
</file>