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Ind w:type="dxa" w:w="108"/>
        <w:tblLayout w:type="fixed"/>
      </w:tblPr>
      <w:tblGrid>
        <w:gridCol w:w="3856"/>
        <w:gridCol w:w="851"/>
        <w:gridCol w:w="822"/>
        <w:gridCol w:w="3856"/>
      </w:tblGrid>
      <w:tr>
        <w:trPr>
          <w:trHeight w:hRule="atLeast" w:val="1401"/>
        </w:trPr>
        <w:tc>
          <w:tcPr>
            <w:tcW w:type="dxa" w:w="3856"/>
          </w:tcPr>
          <w:p w14:paraId="01000000">
            <w:pPr>
              <w:rPr>
                <w:b w:val="1"/>
                <w:sz w:val="28"/>
              </w:rPr>
            </w:pPr>
          </w:p>
          <w:p w14:paraId="02000000">
            <w:pPr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Министерство</w:t>
            </w:r>
            <w:r>
              <w:rPr>
                <w:b w:val="1"/>
                <w:sz w:val="28"/>
              </w:rPr>
              <w:br/>
            </w:r>
            <w:r>
              <w:rPr>
                <w:b w:val="1"/>
                <w:sz w:val="28"/>
              </w:rPr>
              <w:t>образования и науки</w:t>
            </w:r>
            <w:r>
              <w:rPr>
                <w:b w:val="1"/>
                <w:sz w:val="28"/>
              </w:rPr>
              <w:br/>
            </w:r>
            <w:r>
              <w:rPr>
                <w:b w:val="1"/>
                <w:sz w:val="28"/>
              </w:rPr>
              <w:t>Республики Саха (Якутия)</w:t>
            </w:r>
          </w:p>
        </w:tc>
        <w:tc>
          <w:tcPr>
            <w:tcW w:type="dxa" w:w="1673"/>
            <w:gridSpan w:val="2"/>
          </w:tcPr>
          <w:p w14:paraId="03000000">
            <w:pPr>
              <w:rPr>
                <w:rFonts w:ascii="Times Sakha" w:hAnsi="Times Sakha"/>
                <w:sz w:val="28"/>
              </w:rPr>
            </w:pPr>
            <w:r>
              <w:rPr>
                <w:rFonts w:ascii="Times Sakha" w:hAnsi="Times Sakha"/>
                <w:color w:val="0000FF"/>
                <w:sz w:val="28"/>
              </w:rPr>
              <w:drawing>
                <wp:inline>
                  <wp:extent cx="628650" cy="628650"/>
                  <wp:effectExtent b="0" l="0" r="0" t="0"/>
                  <wp:docPr hidden="false" id="2" name="Picture 2"/>
                  <a:graphic>
                    <a:graphicData uri="http://schemas.openxmlformats.org/drawingml/2006/picture">
                      <pic:pic>
                        <pic:nvPicPr>
                          <pic:cNvPr hidden="false" id="1" name="Picture 1"/>
                          <pic:cNvPicPr preferRelativeResize="true"/>
                        </pic:nvPicPr>
                        <pic:blipFill>
                          <a:blip r:embed="rId1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628650" cy="6286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856"/>
          </w:tcPr>
          <w:p w14:paraId="04000000">
            <w:pPr>
              <w:rPr>
                <w:b w:val="1"/>
                <w:sz w:val="28"/>
              </w:rPr>
            </w:pPr>
          </w:p>
          <w:p w14:paraId="05000000">
            <w:pPr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 xml:space="preserve">Саха </w:t>
            </w:r>
            <w:r>
              <w:rPr>
                <w:b w:val="1"/>
                <w:sz w:val="28"/>
              </w:rPr>
              <w:t>Өрөспүүбүлүкэтин</w:t>
            </w:r>
            <w:r>
              <w:rPr>
                <w:b w:val="1"/>
                <w:sz w:val="28"/>
              </w:rPr>
              <w:br/>
            </w:r>
            <w:r>
              <w:rPr>
                <w:b w:val="1"/>
                <w:sz w:val="28"/>
              </w:rPr>
              <w:t>Үөрэххэ</w:t>
            </w:r>
            <w:r>
              <w:rPr>
                <w:b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>уонна</w:t>
            </w:r>
            <w:r>
              <w:rPr>
                <w:b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>наукаҕа</w:t>
            </w:r>
          </w:p>
          <w:p w14:paraId="06000000">
            <w:pPr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министиэристибэтэ</w:t>
            </w:r>
          </w:p>
        </w:tc>
      </w:tr>
      <w:tr>
        <w:trPr>
          <w:trHeight w:hRule="atLeast" w:val="285"/>
        </w:trPr>
        <w:tc>
          <w:tcPr>
            <w:tcW w:type="dxa" w:w="9385"/>
            <w:gridSpan w:val="4"/>
          </w:tcPr>
          <w:p w14:paraId="07000000"/>
          <w:p w14:paraId="08000000">
            <w:pPr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П Р И К А З</w:t>
            </w:r>
          </w:p>
        </w:tc>
      </w:tr>
      <w:tr>
        <w:trPr>
          <w:trHeight w:hRule="atLeast" w:val="987"/>
        </w:trPr>
        <w:tc>
          <w:tcPr>
            <w:tcW w:type="dxa" w:w="4707"/>
            <w:gridSpan w:val="2"/>
          </w:tcPr>
          <w:p w14:paraId="09000000">
            <w:pPr>
              <w:pStyle w:val="Style_2"/>
              <w:rPr>
                <w:sz w:val="28"/>
              </w:rPr>
            </w:pPr>
          </w:p>
          <w:p w14:paraId="0A000000">
            <w:pPr>
              <w:pStyle w:val="Style_2"/>
              <w:rPr>
                <w:sz w:val="28"/>
              </w:rPr>
            </w:pPr>
            <w:bookmarkStart w:id="1" w:name="REGDATESTAMP"/>
            <w:r>
              <w:rPr>
                <w:sz w:val="28"/>
              </w:rPr>
              <w:t>ДАТА</w:t>
            </w:r>
            <w:bookmarkEnd w:id="1"/>
          </w:p>
        </w:tc>
        <w:tc>
          <w:tcPr>
            <w:tcW w:type="dxa" w:w="4678"/>
            <w:gridSpan w:val="2"/>
          </w:tcPr>
          <w:p w14:paraId="0B000000">
            <w:pPr>
              <w:rPr>
                <w:sz w:val="28"/>
              </w:rPr>
            </w:pPr>
          </w:p>
          <w:p w14:paraId="0C000000">
            <w:pPr>
              <w:ind/>
              <w:jc w:val="right"/>
              <w:rPr>
                <w:sz w:val="28"/>
              </w:rPr>
            </w:pPr>
            <w:bookmarkStart w:id="2" w:name="REGNUMSTAMP"/>
            <w:r>
              <w:rPr>
                <w:sz w:val="28"/>
              </w:rPr>
              <w:t>№ РЕГНОМЕР</w:t>
            </w:r>
            <w:bookmarkEnd w:id="2"/>
          </w:p>
          <w:p w14:paraId="0D000000">
            <w:pPr>
              <w:rPr>
                <w:sz w:val="28"/>
              </w:rPr>
            </w:pPr>
          </w:p>
        </w:tc>
      </w:tr>
      <w:tr>
        <w:trPr>
          <w:trHeight w:hRule="atLeast" w:val="588"/>
        </w:trPr>
        <w:tc>
          <w:tcPr>
            <w:tcW w:type="dxa" w:w="9385"/>
            <w:gridSpan w:val="4"/>
          </w:tcPr>
          <w:p w14:paraId="0E000000">
            <w:pPr>
              <w:rPr>
                <w:sz w:val="28"/>
              </w:rPr>
            </w:pPr>
            <w:r>
              <w:rPr>
                <w:sz w:val="28"/>
              </w:rPr>
              <w:t>г. Якутск</w:t>
            </w:r>
          </w:p>
        </w:tc>
      </w:tr>
      <w:tr>
        <w:trPr>
          <w:trHeight w:hRule="atLeast" w:val="1290"/>
        </w:trPr>
        <w:tc>
          <w:tcPr>
            <w:tcW w:type="dxa" w:w="9385"/>
            <w:gridSpan w:val="4"/>
          </w:tcPr>
          <w:p w14:paraId="0F000000">
            <w:pPr>
              <w:rPr>
                <w:b w:val="1"/>
                <w:sz w:val="28"/>
              </w:rPr>
            </w:pPr>
          </w:p>
          <w:p w14:paraId="10000000">
            <w:pPr>
              <w:rPr>
                <w:b w:val="1"/>
                <w:sz w:val="24"/>
              </w:rPr>
            </w:pPr>
            <w:bookmarkStart w:id="3" w:name="_GoBack"/>
            <w:bookmarkEnd w:id="3"/>
            <w:r>
              <w:rPr>
                <w:rFonts w:ascii="PT Astra Serif" w:hAnsi="PT Astra Serif"/>
                <w:sz w:val="28"/>
              </w:rPr>
              <w:t>О признании утратившим силу приказа Министерства образования и науки Республики Саха (Якутия) от 14.04.2018 г. №01-10/553 «Об утверждении Порядка обеспечения питанием обучающихся профессиональных образовательных организаций по очной форме обучения»</w:t>
            </w:r>
          </w:p>
        </w:tc>
      </w:tr>
    </w:tbl>
    <w:p w14:paraId="11000000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</w:p>
    <w:p w14:paraId="12000000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В связи с принятием постановления Правительства Республики Саха (Якутия) от 23 декабря 2021 г. № 538 «Об утверждении порядка обеспечения питанием обучающихся очной формы обучения по основным профессиональным образовательным программам и программам профессиональной подготовки за счет бюджетных ассигнований государственного бюджета Республики Саха (Якутия)» п р и к а з ы в а ю: </w:t>
      </w:r>
    </w:p>
    <w:p w14:paraId="13000000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 Признать утратившим силу приказ Министерства образования и науки Республики Саха (Якутия) от 14.04.2018 г. №01-10/553 «Об утверждении Порядка обеспечения питанием обучающихся профессиональных образовательных организаций по очной форме обучения». </w:t>
      </w:r>
    </w:p>
    <w:p w14:paraId="14000000">
      <w:pPr>
        <w:spacing w:line="276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Контроль исполнения настоящего приказа оставляю за собой.</w:t>
      </w:r>
    </w:p>
    <w:p w14:paraId="15000000">
      <w:pPr>
        <w:spacing w:line="360" w:lineRule="auto"/>
        <w:ind/>
        <w:rPr>
          <w:sz w:val="24"/>
        </w:rPr>
      </w:pPr>
    </w:p>
    <w:tbl>
      <w:tblPr>
        <w:tblStyle w:val="Style_3"/>
        <w:tblpPr w:bottomFromText="0" w:horzAnchor="margin" w:leftFromText="180" w:rightFromText="180" w:tblpXSpec="left" w:tblpY="616" w:topFromText="0" w:vertAnchor="text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2119"/>
        <w:gridCol w:w="3026"/>
        <w:gridCol w:w="2020"/>
        <w:gridCol w:w="2191"/>
      </w:tblGrid>
      <w:tr>
        <w:tc>
          <w:tcPr>
            <w:tcW w:type="dxa" w:w="2119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16000000">
            <w:pPr>
              <w:spacing w:line="360" w:lineRule="auto"/>
              <w:ind/>
              <w:rPr>
                <w:sz w:val="24"/>
              </w:rPr>
            </w:pPr>
            <w:bookmarkStart w:id="4" w:name="SIGNERPOST1"/>
            <w:r>
              <w:rPr>
                <w:sz w:val="24"/>
              </w:rPr>
              <w:t>Должность</w:t>
            </w:r>
            <w:bookmarkEnd w:id="4"/>
          </w:p>
        </w:tc>
        <w:tc>
          <w:tcPr>
            <w:tcW w:type="dxa" w:w="3026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17000000">
            <w:pPr>
              <w:spacing w:line="360" w:lineRule="auto"/>
              <w:ind/>
              <w:rPr>
                <w:sz w:val="24"/>
              </w:rPr>
            </w:pPr>
            <w:bookmarkStart w:id="5" w:name="SIGNERSTAMP1"/>
            <w:r>
              <w:rPr>
                <w:sz w:val="24"/>
              </w:rPr>
              <w:t>Штамп</w:t>
            </w:r>
            <w:bookmarkEnd w:id="5"/>
          </w:p>
        </w:tc>
        <w:tc>
          <w:tcPr>
            <w:tcW w:type="dxa" w:w="2020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18000000">
            <w:pPr>
              <w:spacing w:line="360" w:lineRule="auto"/>
              <w:ind/>
              <w:rPr>
                <w:sz w:val="24"/>
              </w:rPr>
            </w:pPr>
          </w:p>
        </w:tc>
        <w:tc>
          <w:tcPr>
            <w:tcW w:type="dxa" w:w="2191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19000000">
            <w:pPr>
              <w:spacing w:line="360" w:lineRule="auto"/>
              <w:ind/>
              <w:rPr>
                <w:sz w:val="24"/>
              </w:rPr>
            </w:pPr>
            <w:bookmarkStart w:id="6" w:name="SIGNERNAME1"/>
            <w:r>
              <w:rPr>
                <w:sz w:val="24"/>
              </w:rPr>
              <w:t xml:space="preserve">                       ФИО</w:t>
            </w:r>
            <w:bookmarkEnd w:id="6"/>
          </w:p>
        </w:tc>
      </w:tr>
    </w:tbl>
    <w:p w14:paraId="1A000000">
      <w:pPr>
        <w:spacing w:line="360" w:lineRule="auto"/>
        <w:ind/>
        <w:rPr>
          <w:sz w:val="24"/>
        </w:rPr>
      </w:pPr>
    </w:p>
    <w:p w14:paraId="1B000000">
      <w:pPr>
        <w:ind/>
        <w:jc w:val="both"/>
        <w:rPr>
          <w:sz w:val="18"/>
        </w:rPr>
      </w:pPr>
    </w:p>
    <w:p w14:paraId="1C000000">
      <w:pPr>
        <w:ind/>
        <w:jc w:val="both"/>
        <w:rPr>
          <w:sz w:val="18"/>
        </w:rPr>
      </w:pPr>
    </w:p>
    <w:p w14:paraId="1D000000">
      <w:pPr>
        <w:ind/>
        <w:jc w:val="both"/>
        <w:rPr>
          <w:sz w:val="18"/>
        </w:rPr>
      </w:pPr>
    </w:p>
    <w:p w14:paraId="1E000000">
      <w:pPr>
        <w:ind/>
        <w:jc w:val="both"/>
        <w:rPr>
          <w:sz w:val="18"/>
        </w:rPr>
      </w:pPr>
    </w:p>
    <w:p w14:paraId="1F000000">
      <w:pPr>
        <w:ind/>
        <w:jc w:val="both"/>
        <w:rPr>
          <w:sz w:val="18"/>
        </w:rPr>
      </w:pPr>
    </w:p>
    <w:p w14:paraId="20000000">
      <w:pPr>
        <w:ind/>
        <w:jc w:val="both"/>
        <w:rPr>
          <w:sz w:val="18"/>
        </w:rPr>
      </w:pPr>
    </w:p>
    <w:sectPr>
      <w:pgSz w:h="16838" w:orient="portrait" w:w="11906"/>
      <w:pgMar w:bottom="1134" w:footer="709" w:gutter="0" w:header="709" w:left="1701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spacing w:after="0" w:line="240" w:lineRule="auto"/>
      <w:ind/>
      <w:jc w:val="center"/>
    </w:pPr>
    <w:rPr>
      <w:rFonts w:ascii="Times New Roman" w:hAnsi="Times New Roman"/>
      <w:sz w:val="20"/>
    </w:rPr>
  </w:style>
  <w:style w:default="1" w:styleId="Style_4_ch" w:type="character">
    <w:name w:val="Normal"/>
    <w:link w:val="Style_4"/>
    <w:rPr>
      <w:rFonts w:ascii="Times New Roman" w:hAnsi="Times New Roman"/>
      <w:sz w:val="20"/>
    </w:rPr>
  </w:style>
  <w:style w:styleId="Style_5" w:type="paragraph">
    <w:name w:val="toc 2"/>
    <w:next w:val="Style_4"/>
    <w:link w:val="Style_5_ch"/>
    <w:uiPriority w:val="39"/>
    <w:pPr>
      <w:ind w:firstLine="0" w:left="200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4"/>
    <w:link w:val="Style_13_ch"/>
    <w:uiPriority w:val="39"/>
    <w:pPr>
      <w:ind w:firstLine="0" w:left="400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ConsPlusNonformat"/>
    <w:link w:val="Style_14_ch"/>
    <w:pPr>
      <w:spacing w:after="0" w:line="240" w:lineRule="auto"/>
      <w:ind/>
    </w:pPr>
    <w:rPr>
      <w:rFonts w:ascii="Courier New" w:hAnsi="Courier New"/>
      <w:sz w:val="20"/>
    </w:rPr>
  </w:style>
  <w:style w:styleId="Style_14_ch" w:type="character">
    <w:name w:val="ConsPlusNonformat"/>
    <w:link w:val="Style_14"/>
    <w:rPr>
      <w:rFonts w:ascii="Courier New" w:hAnsi="Courier New"/>
      <w:sz w:val="20"/>
    </w:rPr>
  </w:style>
  <w:style w:styleId="Style_2" w:type="paragraph">
    <w:name w:val="No Spacing"/>
    <w:link w:val="Style_2_ch"/>
    <w:pPr>
      <w:spacing w:after="0" w:line="240" w:lineRule="auto"/>
      <w:ind/>
    </w:pPr>
    <w:rPr>
      <w:rFonts w:ascii="Times New Roman" w:hAnsi="Times New Roman"/>
      <w:sz w:val="20"/>
    </w:rPr>
  </w:style>
  <w:style w:styleId="Style_2_ch" w:type="character">
    <w:name w:val="No Spacing"/>
    <w:link w:val="Style_2"/>
    <w:rPr>
      <w:rFonts w:ascii="Times New Roman" w:hAnsi="Times New Roman"/>
      <w:sz w:val="20"/>
    </w:rPr>
  </w:style>
  <w:style w:styleId="Style_15" w:type="paragraph">
    <w:name w:val="heading 5"/>
    <w:next w:val="Style_4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5_ch" w:type="character">
    <w:name w:val="heading 5"/>
    <w:link w:val="Style_15"/>
    <w:rPr>
      <w:rFonts w:ascii="XO Thames" w:hAnsi="XO Thames"/>
      <w:b w:val="1"/>
    </w:rPr>
  </w:style>
  <w:style w:styleId="Style_16" w:type="paragraph">
    <w:name w:val="Основной шрифт абзаца1"/>
    <w:link w:val="Style_16_ch"/>
  </w:style>
  <w:style w:styleId="Style_16_ch" w:type="character">
    <w:name w:val="Основной шрифт абзаца1"/>
    <w:link w:val="Style_16"/>
  </w:style>
  <w:style w:styleId="Style_17" w:type="paragraph">
    <w:name w:val="heading 1"/>
    <w:next w:val="Style_4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</w:rPr>
  </w:style>
  <w:style w:styleId="Style_19_ch" w:type="character">
    <w:name w:val="Footnote"/>
    <w:link w:val="Style_19"/>
    <w:rPr>
      <w:rFonts w:ascii="XO Thames" w:hAnsi="XO Thames"/>
    </w:rPr>
  </w:style>
  <w:style w:styleId="Style_20" w:type="paragraph">
    <w:name w:val="toc 1"/>
    <w:next w:val="Style_4"/>
    <w:link w:val="Style_20_ch"/>
    <w:uiPriority w:val="39"/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4"/>
    <w:link w:val="Style_22_ch"/>
    <w:uiPriority w:val="39"/>
    <w:pPr>
      <w:ind w:firstLine="0" w:left="1600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4"/>
    <w:link w:val="Style_23_ch"/>
    <w:uiPriority w:val="39"/>
    <w:pPr>
      <w:ind w:firstLine="0" w:left="1400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Гиперссылка1"/>
    <w:link w:val="Style_24_ch"/>
    <w:rPr>
      <w:color w:val="0000FF"/>
      <w:u w:val="single"/>
    </w:rPr>
  </w:style>
  <w:style w:styleId="Style_24_ch" w:type="character">
    <w:name w:val="Гиперссылка1"/>
    <w:link w:val="Style_24"/>
    <w:rPr>
      <w:color w:val="0000FF"/>
      <w:u w:val="single"/>
    </w:rPr>
  </w:style>
  <w:style w:styleId="Style_25" w:type="paragraph">
    <w:name w:val="toc 5"/>
    <w:next w:val="Style_4"/>
    <w:link w:val="Style_25_ch"/>
    <w:uiPriority w:val="39"/>
    <w:pPr>
      <w:ind w:firstLine="0" w:left="800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List Paragraph"/>
    <w:basedOn w:val="Style_4"/>
    <w:link w:val="Style_26_ch"/>
    <w:pPr>
      <w:ind w:firstLine="0" w:left="720"/>
      <w:contextualSpacing w:val="1"/>
    </w:pPr>
  </w:style>
  <w:style w:styleId="Style_26_ch" w:type="character">
    <w:name w:val="List Paragraph"/>
    <w:basedOn w:val="Style_4_ch"/>
    <w:link w:val="Style_26"/>
  </w:style>
  <w:style w:styleId="Style_27" w:type="paragraph">
    <w:name w:val="Обычный1"/>
    <w:link w:val="Style_27_ch"/>
    <w:rPr>
      <w:rFonts w:ascii="Times New Roman" w:hAnsi="Times New Roman"/>
      <w:sz w:val="20"/>
    </w:rPr>
  </w:style>
  <w:style w:styleId="Style_27_ch" w:type="character">
    <w:name w:val="Обычный1"/>
    <w:link w:val="Style_27"/>
    <w:rPr>
      <w:rFonts w:ascii="Times New Roman" w:hAnsi="Times New Roman"/>
      <w:sz w:val="20"/>
    </w:rPr>
  </w:style>
  <w:style w:styleId="Style_28" w:type="paragraph">
    <w:name w:val="Subtitle"/>
    <w:next w:val="Style_4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4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4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4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styleId="Style_3" w:type="table">
    <w:name w:val="Table Grid"/>
    <w:basedOn w:val="Style_1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jpe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2024-09-04T08:01:38Z</dcterms:modified>
</cp:coreProperties>
</file>