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3000000">
      <w:pPr>
        <w:widowControl w:val="0"/>
        <w:spacing w:after="0" w:line="360" w:lineRule="exact"/>
        <w:ind/>
        <w:jc w:val="right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Проект</w:t>
      </w:r>
    </w:p>
    <w:p w14:paraId="04000000">
      <w:pPr>
        <w:widowControl w:val="0"/>
        <w:spacing w:after="0" w:line="360" w:lineRule="exact"/>
        <w:ind/>
        <w:jc w:val="right"/>
        <w:rPr>
          <w:rFonts w:ascii="Times New Roman" w:hAnsi="Times New Roman"/>
          <w:b w:val="1"/>
          <w:sz w:val="28"/>
        </w:rPr>
      </w:pPr>
    </w:p>
    <w:p w14:paraId="05000000">
      <w:pPr>
        <w:widowControl w:val="0"/>
        <w:spacing w:after="0" w:line="276" w:lineRule="auto"/>
        <w:ind/>
        <w:jc w:val="center"/>
        <w:rPr>
          <w:rFonts w:ascii="PT Astra Serif" w:hAnsi="PT Astra Serif"/>
          <w:b w:val="1"/>
          <w:sz w:val="28"/>
        </w:rPr>
      </w:pPr>
      <w:r>
        <w:rPr>
          <w:rFonts w:ascii="PT Astra Serif" w:hAnsi="PT Astra Serif"/>
          <w:b w:val="1"/>
          <w:sz w:val="28"/>
        </w:rPr>
        <w:t xml:space="preserve">ПРАВИТЕЛЬСТВО </w:t>
      </w:r>
      <w:r>
        <w:rPr>
          <w:rFonts w:ascii="PT Astra Serif" w:hAnsi="PT Astra Serif"/>
          <w:b w:val="1"/>
          <w:sz w:val="28"/>
        </w:rPr>
        <w:t>РЕСПУБЛИКИ САХА (ЯКУТИЯ)</w:t>
      </w:r>
    </w:p>
    <w:p w14:paraId="06000000">
      <w:pPr>
        <w:widowControl w:val="0"/>
        <w:spacing w:after="0" w:line="276" w:lineRule="auto"/>
        <w:ind/>
        <w:jc w:val="center"/>
        <w:rPr>
          <w:rFonts w:ascii="PT Astra Serif" w:hAnsi="PT Astra Serif"/>
          <w:b w:val="1"/>
          <w:sz w:val="24"/>
        </w:rPr>
      </w:pPr>
    </w:p>
    <w:p w14:paraId="07000000">
      <w:pPr>
        <w:widowControl w:val="0"/>
        <w:spacing w:after="0" w:line="360" w:lineRule="auto"/>
        <w:ind/>
        <w:jc w:val="center"/>
        <w:rPr>
          <w:rFonts w:ascii="PT Astra Serif" w:hAnsi="PT Astra Serif"/>
          <w:b w:val="1"/>
          <w:caps w:val="1"/>
          <w:sz w:val="28"/>
        </w:rPr>
      </w:pPr>
      <w:r>
        <w:rPr>
          <w:rFonts w:ascii="PT Astra Serif" w:hAnsi="PT Astra Serif"/>
          <w:b w:val="1"/>
          <w:caps w:val="1"/>
          <w:sz w:val="28"/>
        </w:rPr>
        <w:t>ПОСТАНОВЛЕНИЕ</w:t>
      </w:r>
    </w:p>
    <w:p w14:paraId="08000000">
      <w:pPr>
        <w:widowControl w:val="0"/>
        <w:spacing w:after="0" w:line="240" w:lineRule="auto"/>
        <w:ind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от ____</w:t>
      </w:r>
      <w:r>
        <w:rPr>
          <w:rFonts w:ascii="PT Astra Serif" w:hAnsi="PT Astra Serif"/>
          <w:sz w:val="28"/>
        </w:rPr>
        <w:t>_____________2024</w:t>
      </w:r>
      <w:r>
        <w:rPr>
          <w:rFonts w:ascii="PT Astra Serif" w:hAnsi="PT Astra Serif"/>
          <w:sz w:val="28"/>
        </w:rPr>
        <w:t xml:space="preserve"> г. №______</w:t>
      </w:r>
    </w:p>
    <w:p w14:paraId="09000000">
      <w:pPr>
        <w:widowControl w:val="0"/>
        <w:spacing w:after="0" w:line="480" w:lineRule="exact"/>
        <w:ind/>
        <w:jc w:val="center"/>
        <w:rPr>
          <w:rFonts w:ascii="PT Astra Serif" w:hAnsi="PT Astra Serif"/>
          <w:sz w:val="28"/>
        </w:rPr>
      </w:pPr>
    </w:p>
    <w:p w14:paraId="0A000000">
      <w:pPr>
        <w:widowControl w:val="0"/>
        <w:spacing w:after="0" w:line="240" w:lineRule="auto"/>
        <w:ind/>
        <w:jc w:val="center"/>
        <w:rPr>
          <w:rFonts w:ascii="PT Astra Serif" w:hAnsi="PT Astra Serif"/>
          <w:b w:val="1"/>
          <w:caps w:val="1"/>
          <w:sz w:val="28"/>
        </w:rPr>
      </w:pPr>
      <w:r>
        <w:rPr>
          <w:rStyle w:val="Style_2_ch"/>
          <w:rFonts w:ascii="PT Astra Serif" w:hAnsi="PT Astra Serif"/>
          <w:b w:val="1"/>
          <w:caps w:val="1"/>
          <w:sz w:val="28"/>
        </w:rPr>
        <w:t xml:space="preserve">О внесении изменений в методику распределения и правила предоставления </w:t>
      </w:r>
      <w:r>
        <w:rPr>
          <w:rStyle w:val="Style_2_ch"/>
          <w:rFonts w:ascii="PT Astra Serif" w:hAnsi="PT Astra Serif"/>
          <w:b w:val="1"/>
          <w:caps w:val="1"/>
          <w:sz w:val="28"/>
        </w:rPr>
        <w:t xml:space="preserve">иных межбюджетных трансфертов </w:t>
      </w:r>
      <w:r>
        <w:rPr>
          <w:rStyle w:val="Style_2_ch"/>
          <w:rFonts w:ascii="PT Astra Serif" w:hAnsi="PT Astra Serif"/>
          <w:b w:val="1"/>
          <w:caps w:val="1"/>
          <w:sz w:val="28"/>
        </w:rPr>
        <w:t xml:space="preserve">из государственного бюджета Республики Саха (Якутия) </w:t>
      </w:r>
      <w:r>
        <w:rPr>
          <w:rStyle w:val="Style_2_ch"/>
          <w:rFonts w:ascii="PT Astra Serif" w:hAnsi="PT Astra Serif"/>
          <w:b w:val="1"/>
          <w:caps w:val="1"/>
          <w:sz w:val="28"/>
        </w:rPr>
        <w:t xml:space="preserve">местным бюджетам </w:t>
      </w:r>
      <w:r>
        <w:rPr>
          <w:rStyle w:val="Style_2_ch"/>
          <w:rFonts w:ascii="PT Astra Serif" w:hAnsi="PT Astra Serif"/>
          <w:b w:val="1"/>
          <w:caps w:val="1"/>
          <w:sz w:val="28"/>
        </w:rPr>
        <w:t xml:space="preserve">на проведение текущего </w:t>
      </w:r>
      <w:r>
        <w:rPr>
          <w:rStyle w:val="Style_2_ch"/>
          <w:rFonts w:ascii="PT Astra Serif" w:hAnsi="PT Astra Serif"/>
          <w:b w:val="1"/>
          <w:caps w:val="1"/>
          <w:sz w:val="28"/>
        </w:rPr>
        <w:t>и капитального ремонта помещений,</w:t>
      </w:r>
    </w:p>
    <w:p w14:paraId="0B000000">
      <w:pPr>
        <w:widowControl w:val="0"/>
        <w:spacing w:after="0" w:line="276" w:lineRule="auto"/>
        <w:ind/>
        <w:jc w:val="center"/>
        <w:rPr>
          <w:rFonts w:ascii="PT Astra Serif" w:hAnsi="PT Astra Serif"/>
          <w:b w:val="1"/>
          <w:caps w:val="1"/>
          <w:sz w:val="28"/>
        </w:rPr>
      </w:pPr>
      <w:r>
        <w:rPr>
          <w:rStyle w:val="Style_2_ch"/>
          <w:rFonts w:ascii="PT Astra Serif" w:hAnsi="PT Astra Serif"/>
          <w:b w:val="1"/>
          <w:caps w:val="1"/>
          <w:sz w:val="28"/>
        </w:rPr>
        <w:t xml:space="preserve"> выделяемых в целях оптимизации жилищного фонда,</w:t>
      </w:r>
    </w:p>
    <w:p w14:paraId="0C000000">
      <w:pPr>
        <w:widowControl w:val="0"/>
        <w:spacing w:after="0" w:line="276" w:lineRule="auto"/>
        <w:ind/>
        <w:jc w:val="center"/>
        <w:rPr>
          <w:rFonts w:ascii="PT Astra Serif" w:hAnsi="PT Astra Serif"/>
          <w:b w:val="1"/>
          <w:caps w:val="1"/>
          <w:sz w:val="28"/>
        </w:rPr>
      </w:pPr>
      <w:r>
        <w:rPr>
          <w:rFonts w:ascii="PT Astra Serif" w:hAnsi="PT Astra Serif"/>
          <w:b w:val="1"/>
          <w:caps w:val="1"/>
          <w:sz w:val="28"/>
        </w:rPr>
        <w:t>утвержденную постановлением правительства республики Саха (якутия) от 25 июля 2024 г. № 338</w:t>
      </w:r>
    </w:p>
    <w:p w14:paraId="0D000000">
      <w:pPr>
        <w:widowControl w:val="0"/>
        <w:spacing w:after="0" w:line="240" w:lineRule="auto"/>
        <w:ind/>
        <w:jc w:val="center"/>
        <w:rPr>
          <w:rFonts w:ascii="PT Astra Serif" w:hAnsi="PT Astra Serif"/>
          <w:b w:val="1"/>
          <w:sz w:val="28"/>
        </w:rPr>
      </w:pPr>
    </w:p>
    <w:p w14:paraId="0E000000">
      <w:pPr>
        <w:spacing w:after="0" w:line="360" w:lineRule="auto"/>
        <w:ind w:firstLine="567" w:left="0"/>
        <w:jc w:val="both"/>
        <w:rPr>
          <w:rFonts w:ascii="PT Astra Serif" w:hAnsi="PT Astra Serif"/>
          <w:b w:val="1"/>
          <w:sz w:val="28"/>
        </w:rPr>
      </w:pPr>
      <w:r>
        <w:rPr>
          <w:rFonts w:ascii="PT Astra Serif" w:hAnsi="PT Astra Serif"/>
          <w:b w:val="0"/>
          <w:sz w:val="28"/>
        </w:rPr>
        <w:t>Правительства Республики Саха (Якутия)</w:t>
      </w:r>
      <w:r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п</w:t>
      </w:r>
      <w:r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о</w:t>
      </w:r>
      <w:r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с</w:t>
      </w:r>
      <w:r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т</w:t>
      </w:r>
      <w:r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а</w:t>
      </w:r>
      <w:r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н</w:t>
      </w:r>
      <w:r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о</w:t>
      </w:r>
      <w:r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в</w:t>
      </w:r>
      <w:r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л</w:t>
      </w:r>
      <w:r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я</w:t>
      </w:r>
      <w:r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е</w:t>
      </w:r>
      <w:r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т:</w:t>
      </w:r>
    </w:p>
    <w:p w14:paraId="0F000000">
      <w:pPr>
        <w:numPr>
          <w:numId w:val="1"/>
        </w:numPr>
        <w:spacing w:after="0" w:line="360" w:lineRule="auto"/>
        <w:ind w:firstLine="709" w:left="0"/>
        <w:jc w:val="both"/>
        <w:rPr>
          <w:rFonts w:ascii="PT Astra Serif" w:hAnsi="PT Astra Serif"/>
          <w:b w:val="0"/>
          <w:sz w:val="28"/>
        </w:rPr>
      </w:pPr>
      <w:r>
        <w:rPr>
          <w:rFonts w:ascii="PT Astra Serif" w:hAnsi="PT Astra Serif"/>
          <w:sz w:val="28"/>
        </w:rPr>
        <w:t xml:space="preserve">Внести в методику распределения и правила предоставления </w:t>
      </w:r>
      <w:r>
        <w:rPr>
          <w:rFonts w:ascii="PT Astra Serif" w:hAnsi="PT Astra Serif"/>
          <w:b w:val="0"/>
          <w:sz w:val="28"/>
        </w:rPr>
        <w:t xml:space="preserve">иных межбюджетных трансфертов </w:t>
      </w:r>
      <w:r>
        <w:rPr>
          <w:rFonts w:ascii="PT Astra Serif" w:hAnsi="PT Astra Serif"/>
          <w:b w:val="0"/>
          <w:sz w:val="28"/>
        </w:rPr>
        <w:t xml:space="preserve">из государственного бюджета Республики Саха (Якутия) </w:t>
      </w:r>
      <w:r>
        <w:rPr>
          <w:rFonts w:ascii="PT Astra Serif" w:hAnsi="PT Astra Serif"/>
          <w:b w:val="0"/>
          <w:sz w:val="28"/>
        </w:rPr>
        <w:t>местным бюджетам на проведение текущего и капитального ремонта помещений, выделяемых в целях оптимизации жил</w:t>
      </w:r>
      <w:r>
        <w:rPr>
          <w:rFonts w:ascii="PT Astra Serif" w:hAnsi="PT Astra Serif"/>
          <w:b w:val="0"/>
          <w:sz w:val="28"/>
        </w:rPr>
        <w:t>ищного фонда, утвержденную постановлением Правительства Республики Саха (Якутия) от 25 июля 2024 г. № 338, следующие изменения:</w:t>
      </w:r>
    </w:p>
    <w:p w14:paraId="10000000">
      <w:pPr>
        <w:numPr>
          <w:numId w:val="2"/>
        </w:numPr>
        <w:spacing w:after="0" w:line="360" w:lineRule="auto"/>
        <w:ind w:firstLine="709" w:left="0"/>
        <w:jc w:val="both"/>
        <w:rPr>
          <w:rFonts w:ascii="PT Astra Serif" w:hAnsi="PT Astra Serif"/>
          <w:b w:val="0"/>
          <w:sz w:val="28"/>
        </w:rPr>
      </w:pPr>
      <w:r>
        <w:rPr>
          <w:rFonts w:ascii="PT Astra Serif" w:hAnsi="PT Astra Serif"/>
          <w:b w:val="0"/>
          <w:sz w:val="28"/>
        </w:rPr>
        <w:t>в пункте 10:</w:t>
      </w:r>
    </w:p>
    <w:p w14:paraId="11000000">
      <w:pPr>
        <w:numPr>
          <w:numId w:val="3"/>
        </w:numPr>
        <w:spacing w:after="0" w:line="360" w:lineRule="auto"/>
        <w:ind w:firstLine="709" w:left="0"/>
        <w:jc w:val="both"/>
        <w:rPr>
          <w:rFonts w:ascii="PT Astra Serif" w:hAnsi="PT Astra Serif"/>
          <w:b w:val="0"/>
          <w:sz w:val="28"/>
        </w:rPr>
      </w:pPr>
      <w:r>
        <w:rPr>
          <w:rFonts w:ascii="PT Astra Serif" w:hAnsi="PT Astra Serif"/>
          <w:b w:val="0"/>
          <w:sz w:val="28"/>
        </w:rPr>
        <w:t>подпункт 3 изложить в следующей редакции:</w:t>
      </w:r>
    </w:p>
    <w:p w14:paraId="12000000">
      <w:pPr>
        <w:spacing w:after="0" w:line="360" w:lineRule="auto"/>
        <w:ind w:firstLine="709" w:left="0"/>
        <w:jc w:val="both"/>
        <w:rPr>
          <w:rFonts w:ascii="PT Astra Serif" w:hAnsi="PT Astra Serif"/>
          <w:b w:val="0"/>
          <w:sz w:val="28"/>
        </w:rPr>
      </w:pPr>
      <w:r>
        <w:rPr>
          <w:rFonts w:ascii="PT Astra Serif" w:hAnsi="PT Astra Serif"/>
          <w:b w:val="0"/>
          <w:sz w:val="28"/>
        </w:rPr>
        <w:t>«3) проектно-сметная документация проведения текущего или капитального ремонта помещений пустующего (незаселенного) муниципального жилищного фонда;»;</w:t>
      </w:r>
    </w:p>
    <w:p w14:paraId="13000000">
      <w:pPr>
        <w:numPr>
          <w:numId w:val="3"/>
        </w:numPr>
        <w:spacing w:after="0" w:line="360" w:lineRule="auto"/>
        <w:ind w:firstLine="709" w:left="0"/>
        <w:jc w:val="both"/>
        <w:rPr>
          <w:rFonts w:ascii="PT Astra Serif" w:hAnsi="PT Astra Serif"/>
          <w:b w:val="0"/>
          <w:sz w:val="28"/>
        </w:rPr>
      </w:pPr>
      <w:r>
        <w:rPr>
          <w:rFonts w:ascii="PT Astra Serif" w:hAnsi="PT Astra Serif"/>
          <w:b w:val="0"/>
          <w:sz w:val="28"/>
        </w:rPr>
        <w:t>в подпункте 4 слова «сметной стоимости строительства (реконструкции, капитального ремонта) объектов капитального строительства» заменить словами «достоверности определения сметной стоимости»;</w:t>
      </w:r>
    </w:p>
    <w:p w14:paraId="14000000">
      <w:pPr>
        <w:numPr>
          <w:numId w:val="3"/>
        </w:numPr>
        <w:spacing w:after="0" w:line="360" w:lineRule="auto"/>
        <w:ind w:firstLine="709" w:left="0"/>
        <w:jc w:val="both"/>
        <w:rPr>
          <w:rFonts w:ascii="PT Astra Serif" w:hAnsi="PT Astra Serif"/>
          <w:b w:val="0"/>
          <w:sz w:val="28"/>
        </w:rPr>
      </w:pPr>
      <w:r>
        <w:rPr>
          <w:rFonts w:ascii="PT Astra Serif" w:hAnsi="PT Astra Serif"/>
          <w:b w:val="0"/>
          <w:sz w:val="28"/>
        </w:rPr>
        <w:t>дополнить подпунктом 6 следующего содержания:</w:t>
      </w:r>
    </w:p>
    <w:p w14:paraId="15000000">
      <w:pPr>
        <w:spacing w:after="0" w:line="360" w:lineRule="auto"/>
        <w:ind w:firstLine="709" w:left="0"/>
        <w:jc w:val="both"/>
        <w:rPr>
          <w:rFonts w:ascii="PT Astra Serif" w:hAnsi="PT Astra Serif"/>
          <w:b w:val="0"/>
          <w:sz w:val="28"/>
        </w:rPr>
      </w:pPr>
      <w:r>
        <w:rPr>
          <w:rFonts w:ascii="PT Astra Serif" w:hAnsi="PT Astra Serif"/>
          <w:b w:val="0"/>
          <w:sz w:val="28"/>
        </w:rPr>
        <w:t>«6) заключение Министерства экономики Республики Саха (Якутия) о совокупной экономии бюджетных средств от внедрения механизма разумного сжатия населенного пункта при сокращении пустующего жилого фонда муниципального образования;».</w:t>
      </w:r>
    </w:p>
    <w:p w14:paraId="16000000">
      <w:pPr>
        <w:spacing w:after="0" w:line="360" w:lineRule="auto"/>
        <w:ind w:firstLine="709" w:left="0"/>
        <w:jc w:val="both"/>
        <w:rPr>
          <w:rFonts w:ascii="PT Astra Serif" w:hAnsi="PT Astra Serif"/>
          <w:b w:val="0"/>
          <w:sz w:val="28"/>
        </w:rPr>
      </w:pPr>
      <w:r>
        <w:rPr>
          <w:rFonts w:ascii="PT Astra Serif" w:hAnsi="PT Astra Serif"/>
          <w:b w:val="0"/>
          <w:sz w:val="28"/>
        </w:rPr>
        <w:t>2) в пункте 11 слова «после регистрации заявки» заменить словами «со дня окончания приема заявок».</w:t>
      </w:r>
    </w:p>
    <w:p w14:paraId="17000000">
      <w:pPr>
        <w:spacing w:after="0" w:line="360" w:lineRule="auto"/>
        <w:ind w:firstLine="709" w:left="0"/>
        <w:jc w:val="both"/>
        <w:rPr>
          <w:rFonts w:ascii="PT Astra Serif" w:hAnsi="PT Astra Serif"/>
          <w:b w:val="0"/>
          <w:sz w:val="28"/>
        </w:rPr>
      </w:pPr>
      <w:r>
        <w:rPr>
          <w:rFonts w:ascii="PT Astra Serif" w:hAnsi="PT Astra Serif"/>
          <w:b w:val="0"/>
          <w:sz w:val="28"/>
        </w:rPr>
        <w:t xml:space="preserve">2. </w:t>
      </w:r>
      <w:r>
        <w:rPr>
          <w:rFonts w:ascii="PT Astra Serif" w:hAnsi="PT Astra Serif"/>
          <w:sz w:val="28"/>
        </w:rPr>
        <w:t>О</w:t>
      </w:r>
      <w:r>
        <w:rPr>
          <w:rFonts w:ascii="PT Astra Serif" w:hAnsi="PT Astra Serif"/>
          <w:sz w:val="28"/>
        </w:rPr>
        <w:t>публиковать настоящее постановление в официальных средствах массовой информации.</w:t>
      </w:r>
    </w:p>
    <w:p w14:paraId="18000000">
      <w:pPr>
        <w:spacing w:after="0" w:line="360" w:lineRule="exact"/>
        <w:ind w:firstLine="709" w:left="0"/>
        <w:jc w:val="center"/>
        <w:rPr>
          <w:rFonts w:ascii="Times New Roman" w:hAnsi="Times New Roman"/>
          <w:sz w:val="28"/>
        </w:rPr>
      </w:pPr>
    </w:p>
    <w:p w14:paraId="19000000">
      <w:pPr>
        <w:widowControl w:val="0"/>
        <w:spacing w:after="0" w:line="240" w:lineRule="auto"/>
        <w:ind w:firstLine="0" w:left="0"/>
        <w:rPr>
          <w:rFonts w:ascii="XO Thames" w:hAnsi="XO Thames"/>
          <w:sz w:val="28"/>
        </w:rPr>
      </w:pPr>
    </w:p>
    <w:p w14:paraId="1A000000">
      <w:pPr>
        <w:widowControl w:val="0"/>
        <w:spacing w:after="0" w:line="240" w:lineRule="auto"/>
        <w:ind w:firstLine="0" w:left="0"/>
        <w:rPr>
          <w:rFonts w:ascii="XO Thames" w:hAnsi="XO Thames"/>
          <w:sz w:val="28"/>
        </w:rPr>
      </w:pPr>
    </w:p>
    <w:p w14:paraId="1B000000">
      <w:pPr>
        <w:widowControl w:val="0"/>
        <w:spacing w:after="0" w:line="240" w:lineRule="auto"/>
        <w:ind w:firstLine="0" w:left="0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 xml:space="preserve">Председатель Правительства </w:t>
      </w:r>
    </w:p>
    <w:p w14:paraId="1C000000">
      <w:pPr>
        <w:widowControl w:val="0"/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XO Thames" w:hAnsi="XO Thames"/>
          <w:sz w:val="28"/>
        </w:rPr>
        <w:t xml:space="preserve">  Республики Саха (</w:t>
      </w:r>
      <w:r>
        <w:rPr>
          <w:rFonts w:ascii="XO Thames" w:hAnsi="XO Thames"/>
          <w:sz w:val="28"/>
        </w:rPr>
        <w:t xml:space="preserve">Якутия)   </w:t>
      </w:r>
      <w:r>
        <w:rPr>
          <w:rFonts w:ascii="XO Thames" w:hAnsi="XO Thames"/>
          <w:sz w:val="28"/>
        </w:rPr>
        <w:t xml:space="preserve">                                                                 К. БЫЧКОВ</w:t>
      </w:r>
    </w:p>
    <w:p w14:paraId="1D000000">
      <w:pPr>
        <w:spacing w:after="0" w:line="276" w:lineRule="auto"/>
        <w:ind/>
        <w:jc w:val="both"/>
        <w:rPr>
          <w:rFonts w:ascii="XO Thames" w:hAnsi="XO Thames"/>
          <w:sz w:val="28"/>
        </w:rPr>
      </w:pPr>
    </w:p>
    <w:sectPr>
      <w:headerReference r:id="rId1" w:type="default"/>
      <w:pgSz w:h="16820" w:orient="portrait" w:w="11900"/>
      <w:pgMar w:bottom="1134" w:footer="720" w:gutter="0" w:header="567" w:left="1417" w:right="850" w:top="992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ind/>
      <w:jc w:val="center"/>
    </w:pPr>
  </w:p>
  <w:p w14:paraId="02000000">
    <w:pPr>
      <w:pStyle w:val="Style_1"/>
    </w:pPr>
  </w:p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pPr>
        <w:ind w:hanging="360" w:left="720"/>
      </w:pPr>
    </w:lvl>
    <w:lvl w:ilvl="1">
      <w:start w:val="1"/>
      <w:numFmt w:val="lowerLetter"/>
      <w:lvlText w:val="%2.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pPr>
        <w:ind w:hanging="360" w:left="2880"/>
      </w:pPr>
    </w:lvl>
    <w:lvl w:ilvl="4">
      <w:start w:val="1"/>
      <w:numFmt w:val="lowerLetter"/>
      <w:lvlText w:val="%5.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lowerLett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abstractNum w:abstractNumId="1">
    <w:lvl w:ilvl="0">
      <w:start w:val="1"/>
      <w:numFmt w:val="decimal"/>
      <w:lvlText w:val="%1)"/>
      <w:pPr>
        <w:ind w:hanging="360" w:left="720"/>
      </w:pPr>
    </w:lvl>
    <w:lvl w:ilvl="1">
      <w:start w:val="1"/>
      <w:numFmt w:val="russianLower"/>
      <w:lvlText w:val="%2)"/>
      <w:pPr>
        <w:ind w:hanging="360" w:left="1440"/>
      </w:pPr>
    </w:lvl>
    <w:lvl w:ilvl="2">
      <w:start w:val="1"/>
      <w:numFmt w:val="lowerRoman"/>
      <w:lvlText w:val="%3)"/>
      <w:lvlJc w:val="right"/>
      <w:pPr>
        <w:ind w:hanging="360" w:left="2160"/>
      </w:pPr>
    </w:lvl>
    <w:lvl w:ilvl="3">
      <w:start w:val="1"/>
      <w:numFmt w:val="decimal"/>
      <w:lvlText w:val="%4)"/>
      <w:pPr>
        <w:ind w:hanging="360" w:left="2880"/>
      </w:pPr>
    </w:lvl>
    <w:lvl w:ilvl="4">
      <w:start w:val="1"/>
      <w:numFmt w:val="russianLower"/>
      <w:lvlText w:val="%5)"/>
      <w:pPr>
        <w:ind w:hanging="360" w:left="3600"/>
      </w:pPr>
    </w:lvl>
    <w:lvl w:ilvl="5">
      <w:start w:val="1"/>
      <w:numFmt w:val="lowerRoman"/>
      <w:lvlText w:val="%6)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russianLow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abstractNum w:abstractNumId="2">
    <w:lvl w:ilvl="0">
      <w:start w:val="1"/>
      <w:numFmt w:val="russianLower"/>
      <w:lvlText w:val="%1)"/>
      <w:pPr>
        <w:ind w:hanging="360" w:left="720"/>
      </w:pPr>
    </w:lvl>
    <w:lvl w:ilvl="1">
      <w:start w:val="1"/>
      <w:numFmt w:val="decimal"/>
      <w:lvlText w:val="%2)"/>
      <w:pPr>
        <w:ind w:hanging="360" w:left="1440"/>
      </w:pPr>
    </w:lvl>
    <w:lvl w:ilvl="2">
      <w:start w:val="1"/>
      <w:numFmt w:val="lowerRoman"/>
      <w:lvlText w:val="%3)"/>
      <w:lvlJc w:val="right"/>
      <w:pPr>
        <w:ind w:hanging="360" w:left="2160"/>
      </w:pPr>
    </w:lvl>
    <w:lvl w:ilvl="3">
      <w:start w:val="1"/>
      <w:numFmt w:val="russianLower"/>
      <w:lvlText w:val="%4)"/>
      <w:pPr>
        <w:ind w:hanging="360" w:left="2880"/>
      </w:pPr>
    </w:lvl>
    <w:lvl w:ilvl="4">
      <w:start w:val="1"/>
      <w:numFmt w:val="decimal"/>
      <w:lvlText w:val="%5)"/>
      <w:pPr>
        <w:ind w:hanging="360" w:left="3600"/>
      </w:pPr>
    </w:lvl>
    <w:lvl w:ilvl="5">
      <w:start w:val="1"/>
      <w:numFmt w:val="lowerRoman"/>
      <w:lvlText w:val="%6)"/>
      <w:lvlJc w:val="right"/>
      <w:pPr>
        <w:ind w:hanging="360" w:left="4320"/>
      </w:pPr>
    </w:lvl>
    <w:lvl w:ilvl="6">
      <w:start w:val="1"/>
      <w:numFmt w:val="russianLower"/>
      <w:lvlText w:val="%7)"/>
      <w:pPr>
        <w:ind w:hanging="360" w:left="5040"/>
      </w:pPr>
    </w:lvl>
    <w:lvl w:ilvl="7">
      <w:start w:val="1"/>
      <w:numFmt w:val="decimal"/>
      <w:lvlText w:val="%8)"/>
      <w:pPr>
        <w:ind w:hanging="360" w:left="5760"/>
      </w:pPr>
    </w:lvl>
    <w:lvl w:ilvl="8">
      <w:start w:val="1"/>
      <w:numFmt w:val="lowerRoman"/>
      <w:lvlText w:val="%9)"/>
      <w:lvlJc w:val="right"/>
      <w:pPr>
        <w:ind w:hanging="360" w:left="6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annotation reference"/>
    <w:basedOn w:val="Style_4"/>
    <w:link w:val="Style_3_ch"/>
    <w:rPr>
      <w:sz w:val="16"/>
    </w:rPr>
  </w:style>
  <w:style w:styleId="Style_3_ch" w:type="character">
    <w:name w:val="annotation reference"/>
    <w:basedOn w:val="Style_4_ch"/>
    <w:link w:val="Style_3"/>
    <w:rPr>
      <w:sz w:val="16"/>
    </w:rPr>
  </w:style>
  <w:style w:styleId="Style_5" w:type="paragraph">
    <w:name w:val="annotation subject"/>
    <w:basedOn w:val="Style_6"/>
    <w:next w:val="Style_6"/>
    <w:link w:val="Style_5_ch"/>
    <w:rPr>
      <w:b w:val="1"/>
    </w:rPr>
  </w:style>
  <w:style w:styleId="Style_5_ch" w:type="character">
    <w:name w:val="annotation subject"/>
    <w:basedOn w:val="Style_6_ch"/>
    <w:link w:val="Style_5"/>
    <w:rPr>
      <w:b w:val="1"/>
    </w:rPr>
  </w:style>
  <w:style w:styleId="Style_7" w:type="paragraph">
    <w:name w:val="toc 2"/>
    <w:next w:val="Style_2"/>
    <w:link w:val="Style_7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7_ch" w:type="character">
    <w:name w:val="toc 2"/>
    <w:link w:val="Style_7"/>
    <w:rPr>
      <w:rFonts w:ascii="XO Thames" w:hAnsi="XO Thames"/>
      <w:sz w:val="28"/>
    </w:rPr>
  </w:style>
  <w:style w:styleId="Style_8" w:type="paragraph">
    <w:name w:val="toc 4"/>
    <w:next w:val="Style_2"/>
    <w:link w:val="Style_8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8_ch" w:type="character">
    <w:name w:val="toc 4"/>
    <w:link w:val="Style_8"/>
    <w:rPr>
      <w:rFonts w:ascii="XO Thames" w:hAnsi="XO Thames"/>
      <w:sz w:val="28"/>
    </w:rPr>
  </w:style>
  <w:style w:styleId="Style_9" w:type="paragraph">
    <w:name w:val="toc 6"/>
    <w:next w:val="Style_2"/>
    <w:link w:val="Style_9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9_ch" w:type="character">
    <w:name w:val="toc 6"/>
    <w:link w:val="Style_9"/>
    <w:rPr>
      <w:rFonts w:ascii="XO Thames" w:hAnsi="XO Thames"/>
      <w:sz w:val="28"/>
    </w:rPr>
  </w:style>
  <w:style w:styleId="Style_10" w:type="paragraph">
    <w:name w:val="toc 7"/>
    <w:next w:val="Style_2"/>
    <w:link w:val="Style_10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0_ch" w:type="character">
    <w:name w:val="toc 7"/>
    <w:link w:val="Style_10"/>
    <w:rPr>
      <w:rFonts w:ascii="XO Thames" w:hAnsi="XO Thames"/>
      <w:sz w:val="28"/>
    </w:rPr>
  </w:style>
  <w:style w:styleId="Style_11" w:type="paragraph">
    <w:name w:val="Endnote"/>
    <w:link w:val="Style_11_ch"/>
    <w:pPr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Endnote"/>
    <w:link w:val="Style_11"/>
    <w:rPr>
      <w:rFonts w:ascii="XO Thames" w:hAnsi="XO Thames"/>
      <w:sz w:val="22"/>
    </w:rPr>
  </w:style>
  <w:style w:styleId="Style_12" w:type="paragraph">
    <w:name w:val="heading 3"/>
    <w:next w:val="Style_2"/>
    <w:link w:val="Style_12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2_ch" w:type="character">
    <w:name w:val="heading 3"/>
    <w:link w:val="Style_12"/>
    <w:rPr>
      <w:rFonts w:ascii="XO Thames" w:hAnsi="XO Thames"/>
      <w:b w:val="1"/>
      <w:sz w:val="26"/>
    </w:rPr>
  </w:style>
  <w:style w:styleId="Style_13" w:type="paragraph">
    <w:name w:val="footer"/>
    <w:basedOn w:val="Style_2"/>
    <w:link w:val="Style_13_ch"/>
    <w:pPr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13_ch" w:type="character">
    <w:name w:val="footer"/>
    <w:basedOn w:val="Style_2_ch"/>
    <w:link w:val="Style_13"/>
  </w:style>
  <w:style w:styleId="Style_1" w:type="paragraph">
    <w:name w:val="header"/>
    <w:basedOn w:val="Style_2"/>
    <w:link w:val="Style_1_ch"/>
    <w:pPr>
      <w:widowControl w:val="0"/>
      <w:tabs>
        <w:tab w:leader="none" w:pos="4677" w:val="center"/>
        <w:tab w:leader="none" w:pos="9355" w:val="right"/>
      </w:tabs>
      <w:spacing w:after="0" w:line="240" w:lineRule="auto"/>
      <w:ind/>
      <w:jc w:val="both"/>
    </w:pPr>
    <w:rPr>
      <w:rFonts w:ascii="Times New Roman" w:hAnsi="Times New Roman"/>
      <w:sz w:val="20"/>
    </w:rPr>
  </w:style>
  <w:style w:styleId="Style_1_ch" w:type="character">
    <w:name w:val="header"/>
    <w:basedOn w:val="Style_2_ch"/>
    <w:link w:val="Style_1"/>
    <w:rPr>
      <w:rFonts w:ascii="Times New Roman" w:hAnsi="Times New Roman"/>
      <w:sz w:val="20"/>
    </w:rPr>
  </w:style>
  <w:style w:styleId="Style_14" w:type="paragraph">
    <w:name w:val="Balloon Text"/>
    <w:basedOn w:val="Style_2"/>
    <w:link w:val="Style_14_ch"/>
    <w:pPr>
      <w:spacing w:after="0" w:line="240" w:lineRule="auto"/>
      <w:ind/>
    </w:pPr>
    <w:rPr>
      <w:rFonts w:ascii="Segoe UI" w:hAnsi="Segoe UI"/>
      <w:sz w:val="18"/>
    </w:rPr>
  </w:style>
  <w:style w:styleId="Style_14_ch" w:type="character">
    <w:name w:val="Balloon Text"/>
    <w:basedOn w:val="Style_2_ch"/>
    <w:link w:val="Style_14"/>
    <w:rPr>
      <w:rFonts w:ascii="Segoe UI" w:hAnsi="Segoe UI"/>
      <w:sz w:val="18"/>
    </w:rPr>
  </w:style>
  <w:style w:styleId="Style_15" w:type="paragraph">
    <w:name w:val="toc 3"/>
    <w:next w:val="Style_2"/>
    <w:link w:val="Style_15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5_ch" w:type="character">
    <w:name w:val="toc 3"/>
    <w:link w:val="Style_15"/>
    <w:rPr>
      <w:rFonts w:ascii="XO Thames" w:hAnsi="XO Thames"/>
      <w:sz w:val="28"/>
    </w:rPr>
  </w:style>
  <w:style w:styleId="Style_16" w:type="paragraph">
    <w:name w:val="heading 5"/>
    <w:next w:val="Style_2"/>
    <w:link w:val="Style_16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6_ch" w:type="character">
    <w:name w:val="heading 5"/>
    <w:link w:val="Style_16"/>
    <w:rPr>
      <w:rFonts w:ascii="XO Thames" w:hAnsi="XO Thames"/>
      <w:b w:val="1"/>
      <w:sz w:val="22"/>
    </w:rPr>
  </w:style>
  <w:style w:styleId="Style_17" w:type="paragraph">
    <w:name w:val="heading 1"/>
    <w:next w:val="Style_2"/>
    <w:link w:val="Style_17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7_ch" w:type="character">
    <w:name w:val="heading 1"/>
    <w:link w:val="Style_17"/>
    <w:rPr>
      <w:rFonts w:ascii="XO Thames" w:hAnsi="XO Thames"/>
      <w:b w:val="1"/>
      <w:sz w:val="32"/>
    </w:rPr>
  </w:style>
  <w:style w:styleId="Style_18" w:type="paragraph">
    <w:name w:val="List Paragraph"/>
    <w:basedOn w:val="Style_2"/>
    <w:link w:val="Style_18_ch"/>
    <w:pPr>
      <w:ind w:firstLine="0" w:left="720"/>
      <w:contextualSpacing w:val="1"/>
    </w:pPr>
  </w:style>
  <w:style w:styleId="Style_18_ch" w:type="character">
    <w:name w:val="List Paragraph"/>
    <w:basedOn w:val="Style_2_ch"/>
    <w:link w:val="Style_18"/>
  </w:style>
  <w:style w:styleId="Style_19" w:type="paragraph">
    <w:name w:val="Hyperlink"/>
    <w:basedOn w:val="Style_4"/>
    <w:link w:val="Style_19_ch"/>
    <w:rPr>
      <w:color w:themeColor="hyperlink" w:val="0563C1"/>
      <w:u w:val="single"/>
    </w:rPr>
  </w:style>
  <w:style w:styleId="Style_19_ch" w:type="character">
    <w:name w:val="Hyperlink"/>
    <w:basedOn w:val="Style_4_ch"/>
    <w:link w:val="Style_19"/>
    <w:rPr>
      <w:color w:themeColor="hyperlink" w:val="0563C1"/>
      <w:u w:val="single"/>
    </w:rPr>
  </w:style>
  <w:style w:styleId="Style_20" w:type="paragraph">
    <w:name w:val="Footnote"/>
    <w:link w:val="Style_20_ch"/>
    <w:pPr>
      <w:ind w:firstLine="851" w:left="0"/>
      <w:jc w:val="both"/>
    </w:pPr>
    <w:rPr>
      <w:rFonts w:ascii="XO Thames" w:hAnsi="XO Thames"/>
      <w:sz w:val="22"/>
    </w:rPr>
  </w:style>
  <w:style w:styleId="Style_20_ch" w:type="character">
    <w:name w:val="Footnote"/>
    <w:link w:val="Style_20"/>
    <w:rPr>
      <w:rFonts w:ascii="XO Thames" w:hAnsi="XO Thames"/>
      <w:sz w:val="22"/>
    </w:rPr>
  </w:style>
  <w:style w:styleId="Style_21" w:type="paragraph">
    <w:name w:val="toc 1"/>
    <w:next w:val="Style_2"/>
    <w:link w:val="Style_21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1_ch" w:type="character">
    <w:name w:val="toc 1"/>
    <w:link w:val="Style_21"/>
    <w:rPr>
      <w:rFonts w:ascii="XO Thames" w:hAnsi="XO Thames"/>
      <w:b w:val="1"/>
      <w:sz w:val="28"/>
    </w:rPr>
  </w:style>
  <w:style w:styleId="Style_4" w:type="paragraph">
    <w:name w:val="Default Paragraph Font"/>
    <w:link w:val="Style_4_ch"/>
  </w:style>
  <w:style w:styleId="Style_4_ch" w:type="character">
    <w:name w:val="Default Paragraph Font"/>
    <w:link w:val="Style_4"/>
  </w:style>
  <w:style w:styleId="Style_22" w:type="paragraph">
    <w:name w:val="Header and Footer"/>
    <w:link w:val="Style_22_ch"/>
    <w:pPr>
      <w:spacing w:line="240" w:lineRule="auto"/>
      <w:ind/>
      <w:jc w:val="both"/>
    </w:pPr>
    <w:rPr>
      <w:rFonts w:ascii="XO Thames" w:hAnsi="XO Thames"/>
      <w:sz w:val="28"/>
    </w:rPr>
  </w:style>
  <w:style w:styleId="Style_22_ch" w:type="character">
    <w:name w:val="Header and Footer"/>
    <w:link w:val="Style_22"/>
    <w:rPr>
      <w:rFonts w:ascii="XO Thames" w:hAnsi="XO Thames"/>
      <w:sz w:val="28"/>
    </w:rPr>
  </w:style>
  <w:style w:styleId="Style_23" w:type="paragraph">
    <w:name w:val="toc 9"/>
    <w:next w:val="Style_2"/>
    <w:link w:val="Style_23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3_ch" w:type="character">
    <w:name w:val="toc 9"/>
    <w:link w:val="Style_23"/>
    <w:rPr>
      <w:rFonts w:ascii="XO Thames" w:hAnsi="XO Thames"/>
      <w:sz w:val="28"/>
    </w:rPr>
  </w:style>
  <w:style w:styleId="Style_24" w:type="paragraph">
    <w:name w:val="toc 8"/>
    <w:next w:val="Style_2"/>
    <w:link w:val="Style_24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4_ch" w:type="character">
    <w:name w:val="toc 8"/>
    <w:link w:val="Style_24"/>
    <w:rPr>
      <w:rFonts w:ascii="XO Thames" w:hAnsi="XO Thames"/>
      <w:sz w:val="28"/>
    </w:rPr>
  </w:style>
  <w:style w:styleId="Style_6" w:type="paragraph">
    <w:name w:val="annotation text"/>
    <w:basedOn w:val="Style_2"/>
    <w:link w:val="Style_6_ch"/>
    <w:pPr>
      <w:spacing w:line="240" w:lineRule="auto"/>
      <w:ind/>
    </w:pPr>
    <w:rPr>
      <w:sz w:val="20"/>
    </w:rPr>
  </w:style>
  <w:style w:styleId="Style_6_ch" w:type="character">
    <w:name w:val="annotation text"/>
    <w:basedOn w:val="Style_2_ch"/>
    <w:link w:val="Style_6"/>
    <w:rPr>
      <w:sz w:val="20"/>
    </w:rPr>
  </w:style>
  <w:style w:styleId="Style_25" w:type="paragraph">
    <w:name w:val="toc 5"/>
    <w:next w:val="Style_2"/>
    <w:link w:val="Style_25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5_ch" w:type="character">
    <w:name w:val="toc 5"/>
    <w:link w:val="Style_25"/>
    <w:rPr>
      <w:rFonts w:ascii="XO Thames" w:hAnsi="XO Thames"/>
      <w:sz w:val="28"/>
    </w:rPr>
  </w:style>
  <w:style w:styleId="Style_26" w:type="paragraph">
    <w:name w:val="Subtitle"/>
    <w:next w:val="Style_2"/>
    <w:link w:val="Style_26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6_ch" w:type="character">
    <w:name w:val="Subtitle"/>
    <w:link w:val="Style_26"/>
    <w:rPr>
      <w:rFonts w:ascii="XO Thames" w:hAnsi="XO Thames"/>
      <w:i w:val="1"/>
      <w:sz w:val="24"/>
    </w:rPr>
  </w:style>
  <w:style w:styleId="Style_27" w:type="paragraph">
    <w:name w:val="Title"/>
    <w:next w:val="Style_2"/>
    <w:link w:val="Style_27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7_ch" w:type="character">
    <w:name w:val="Title"/>
    <w:link w:val="Style_27"/>
    <w:rPr>
      <w:rFonts w:ascii="XO Thames" w:hAnsi="XO Thames"/>
      <w:b w:val="1"/>
      <w:caps w:val="1"/>
      <w:sz w:val="40"/>
    </w:rPr>
  </w:style>
  <w:style w:styleId="Style_28" w:type="paragraph">
    <w:name w:val="heading 4"/>
    <w:next w:val="Style_2"/>
    <w:link w:val="Style_28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8_ch" w:type="character">
    <w:name w:val="heading 4"/>
    <w:link w:val="Style_28"/>
    <w:rPr>
      <w:rFonts w:ascii="XO Thames" w:hAnsi="XO Thames"/>
      <w:b w:val="1"/>
      <w:sz w:val="24"/>
    </w:rPr>
  </w:style>
  <w:style w:styleId="Style_29" w:type="paragraph">
    <w:name w:val="heading 2"/>
    <w:next w:val="Style_2"/>
    <w:link w:val="Style_29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9_ch" w:type="character">
    <w:name w:val="heading 2"/>
    <w:link w:val="Style_29"/>
    <w:rPr>
      <w:rFonts w:ascii="XO Thames" w:hAnsi="XO Thames"/>
      <w:b w:val="1"/>
      <w:sz w:val="28"/>
    </w:rPr>
  </w:style>
  <w:style w:default="1" w:styleId="Style_30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header1.xml" Type="http://schemas.openxmlformats.org/officeDocument/2006/relationships/header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8" Target="numbering.xml" Type="http://schemas.openxmlformats.org/officeDocument/2006/relationships/numbering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MyOffice-CoreFramework-Linux/33-1224.848.9400.852.1@a485da99dcc738e8c7d147737040082c6b3f9fe8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2024-11-11T00:51:07Z</dcterms:modified>
</cp:coreProperties>
</file>