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Layout w:type="fixed"/>
        <w:tblCellMar>
          <w:left w:type="dxa" w:w="28"/>
          <w:right w:type="dxa" w:w="28"/>
        </w:tblCellMar>
      </w:tblPr>
      <w:tblGrid>
        <w:gridCol w:w="3960"/>
        <w:gridCol w:w="1880"/>
        <w:gridCol w:w="1385"/>
        <w:gridCol w:w="2582"/>
      </w:tblGrid>
      <w:tr>
        <w:trPr>
          <w:trHeight w:hRule="atLeast" w:val="1283"/>
        </w:trPr>
        <w:tc>
          <w:tcPr>
            <w:tcW w:type="dxa" w:w="3960"/>
            <w:tcMar>
              <w:left w:type="dxa" w:w="28"/>
              <w:right w:type="dxa" w:w="28"/>
            </w:tcMar>
            <w:vAlign w:val="center"/>
          </w:tcPr>
          <w:p w14:paraId="01000000">
            <w:pPr>
              <w:widowControl w:val="1"/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b w:val="1"/>
                <w:sz w:val="28"/>
              </w:rPr>
              <w:t>Министерство труда</w:t>
            </w:r>
          </w:p>
          <w:p w14:paraId="02000000">
            <w:pPr>
              <w:widowControl w:val="1"/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b w:val="1"/>
                <w:sz w:val="28"/>
              </w:rPr>
              <w:t>и социального развития Республики Саха (Якутия)</w:t>
            </w:r>
          </w:p>
          <w:p w14:paraId="03000000">
            <w:pPr>
              <w:widowControl w:val="1"/>
              <w:ind/>
              <w:rPr>
                <w:rFonts w:ascii="Times Sakha Unicode" w:hAnsi="Times Sakha Unicode"/>
                <w:b w:val="1"/>
                <w:sz w:val="28"/>
              </w:rPr>
            </w:pPr>
          </w:p>
        </w:tc>
        <w:tc>
          <w:tcPr>
            <w:tcW w:type="dxa" w:w="1880"/>
            <w:tcMar>
              <w:left w:type="dxa" w:w="28"/>
              <w:right w:type="dxa" w:w="28"/>
            </w:tcMar>
          </w:tcPr>
          <w:p w14:paraId="04000000">
            <w:pPr>
              <w:widowControl w:val="1"/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b w:val="1"/>
                <w:sz w:val="28"/>
              </w:rPr>
              <w:drawing>
                <wp:inline>
                  <wp:extent cx="828675" cy="771525"/>
                  <wp:effectExtent b="0" l="0" r="0" t="0"/>
                  <wp:docPr hidden="false" id="2" name="Picture 2"/>
                  <a:graphic>
                    <a:graphicData uri="http://schemas.openxmlformats.org/drawingml/2006/picture">
                      <pic:pic>
                        <pic:nvPicPr>
                          <pic:cNvPr hidden="false" id="1" name="Picture 1"/>
                          <pic:cNvPicPr preferRelativeResize="true"/>
                        </pic:nvPicPr>
                        <pic:blipFill>
                          <a:blip r:embed="rId1"/>
                          <a:srcRect b="0" l="0" r="0" t="0"/>
                          <a:stretch/>
                        </pic:blipFill>
                        <pic:spPr>
                          <a:xfrm flipH="false" flipV="false" rot="0">
                            <a:ext cx="828675" cy="7715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967"/>
            <w:gridSpan w:val="2"/>
            <w:tcMar>
              <w:left w:type="dxa" w:w="28"/>
              <w:right w:type="dxa" w:w="28"/>
            </w:tcMar>
            <w:vAlign w:val="center"/>
          </w:tcPr>
          <w:p w14:paraId="05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b w:val="1"/>
                <w:sz w:val="28"/>
              </w:rPr>
              <w:t>Саха £р³спµµ</w:t>
            </w:r>
            <w:r>
              <w:rPr>
                <w:rFonts w:ascii="Times Sakha Unicode" w:hAnsi="Times Sakha Unicode"/>
                <w:b w:val="1"/>
                <w:sz w:val="28"/>
              </w:rPr>
              <w:t>бµлµкэтин</w:t>
            </w:r>
            <w:r>
              <w:rPr>
                <w:rFonts w:ascii="Times Sakha Unicode" w:hAnsi="Times Sakha Unicode"/>
                <w:b w:val="1"/>
                <w:sz w:val="28"/>
              </w:rPr>
              <w:t xml:space="preserve"> </w:t>
            </w:r>
          </w:p>
          <w:p w14:paraId="06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b w:val="1"/>
                <w:sz w:val="28"/>
              </w:rPr>
              <w:t>µ</w:t>
            </w:r>
            <w:r>
              <w:rPr>
                <w:rFonts w:ascii="Times Sakha Unicode" w:hAnsi="Times Sakha Unicode"/>
                <w:b w:val="1"/>
                <w:sz w:val="28"/>
              </w:rPr>
              <w:t>лэ±э</w:t>
            </w:r>
            <w:r>
              <w:rPr>
                <w:rFonts w:ascii="Times Sakha Unicode" w:hAnsi="Times Sakha Unicode"/>
                <w:b w:val="1"/>
                <w:sz w:val="28"/>
              </w:rPr>
              <w:t xml:space="preserve"> </w:t>
            </w:r>
            <w:r>
              <w:rPr>
                <w:rFonts w:ascii="Times Sakha Unicode" w:hAnsi="Times Sakha Unicode"/>
                <w:b w:val="1"/>
                <w:sz w:val="28"/>
              </w:rPr>
              <w:t>уонна</w:t>
            </w:r>
            <w:r>
              <w:rPr>
                <w:rFonts w:ascii="Times Sakha Unicode" w:hAnsi="Times Sakha Unicode"/>
                <w:b w:val="1"/>
                <w:sz w:val="28"/>
              </w:rPr>
              <w:t xml:space="preserve"> </w:t>
            </w:r>
            <w:r>
              <w:rPr>
                <w:rFonts w:ascii="Times Sakha Unicode" w:hAnsi="Times Sakha Unicode"/>
                <w:b w:val="1"/>
                <w:sz w:val="28"/>
              </w:rPr>
              <w:t>социальнай</w:t>
            </w:r>
          </w:p>
          <w:p w14:paraId="07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b w:val="1"/>
                <w:sz w:val="28"/>
              </w:rPr>
              <w:t>сайдыыга</w:t>
            </w:r>
            <w:r>
              <w:rPr>
                <w:rFonts w:ascii="Times Sakha Unicode" w:hAnsi="Times Sakha Unicode"/>
                <w:b w:val="1"/>
                <w:sz w:val="28"/>
              </w:rPr>
              <w:t xml:space="preserve"> </w:t>
            </w:r>
            <w:r>
              <w:rPr>
                <w:rFonts w:ascii="Times Sakha Unicode" w:hAnsi="Times Sakha Unicode"/>
                <w:b w:val="1"/>
                <w:sz w:val="28"/>
              </w:rPr>
              <w:t>министиэристибэтэ</w:t>
            </w:r>
          </w:p>
          <w:p w14:paraId="08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 Unicode" w:hAnsi="Times Sakha Unicode"/>
                <w:b w:val="1"/>
                <w:sz w:val="28"/>
              </w:rPr>
            </w:pPr>
          </w:p>
        </w:tc>
      </w:tr>
      <w:tr>
        <w:trPr>
          <w:trHeight w:hRule="atLeast" w:val="636"/>
        </w:trPr>
        <w:tc>
          <w:tcPr>
            <w:tcW w:type="dxa" w:w="3960"/>
            <w:tcMar>
              <w:left w:type="dxa" w:w="28"/>
              <w:right w:type="dxa" w:w="28"/>
            </w:tcMar>
            <w:vAlign w:val="center"/>
          </w:tcPr>
          <w:p w14:paraId="09000000">
            <w:pPr>
              <w:widowControl w:val="1"/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</w:p>
        </w:tc>
        <w:tc>
          <w:tcPr>
            <w:tcW w:type="dxa" w:w="1880"/>
            <w:tcMar>
              <w:left w:type="dxa" w:w="28"/>
              <w:right w:type="dxa" w:w="28"/>
            </w:tcMar>
          </w:tcPr>
          <w:p w14:paraId="0A000000">
            <w:pPr>
              <w:widowControl w:val="1"/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</w:p>
          <w:p w14:paraId="0B000000">
            <w:pPr>
              <w:widowControl w:val="1"/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b w:val="1"/>
                <w:sz w:val="28"/>
              </w:rPr>
              <w:t>ПРИКАЗ</w:t>
            </w:r>
          </w:p>
        </w:tc>
        <w:tc>
          <w:tcPr>
            <w:tcW w:type="dxa" w:w="3967"/>
            <w:gridSpan w:val="2"/>
            <w:tcMar>
              <w:left w:type="dxa" w:w="28"/>
              <w:right w:type="dxa" w:w="28"/>
            </w:tcMar>
            <w:vAlign w:val="center"/>
          </w:tcPr>
          <w:p w14:paraId="0C000000">
            <w:pPr>
              <w:keepNext w:val="1"/>
              <w:keepLines w:val="1"/>
              <w:widowControl w:val="1"/>
              <w:ind/>
              <w:jc w:val="center"/>
              <w:outlineLvl w:val="1"/>
              <w:rPr>
                <w:rFonts w:ascii="Times Sakha Unicode" w:hAnsi="Times Sakha Unicode"/>
                <w:b w:val="1"/>
                <w:sz w:val="28"/>
              </w:rPr>
            </w:pPr>
          </w:p>
        </w:tc>
      </w:tr>
      <w:tr>
        <w:trPr>
          <w:trHeight w:hRule="atLeast" w:val="406"/>
        </w:trPr>
        <w:tc>
          <w:tcPr>
            <w:tcW w:type="dxa" w:w="3960"/>
            <w:tcMar>
              <w:left w:type="dxa" w:w="28"/>
              <w:right w:type="dxa" w:w="28"/>
            </w:tcMar>
            <w:vAlign w:val="bottom"/>
          </w:tcPr>
          <w:p w14:paraId="0D000000">
            <w:pPr>
              <w:rPr>
                <w:rFonts w:ascii="Times Sakha Unicode" w:hAnsi="Times Sakha Unicode"/>
                <w:sz w:val="28"/>
                <w:u w:val="single"/>
              </w:rPr>
            </w:pPr>
            <w:bookmarkStart w:id="1" w:name="REGDATESTAMP"/>
            <w:r>
              <w:rPr>
                <w:rFonts w:ascii="Times Sakha Unicode" w:hAnsi="Times Sakha Unicode"/>
                <w:sz w:val="28"/>
                <w:u w:val="single"/>
              </w:rPr>
              <w:t xml:space="preserve">Место для даты </w:t>
            </w:r>
            <w:r>
              <w:rPr>
                <w:rFonts w:ascii="Times Sakha Unicode" w:hAnsi="Times Sakha Unicode"/>
                <w:sz w:val="28"/>
                <w:u w:val="single"/>
              </w:rPr>
              <w:t>рег</w:t>
            </w:r>
            <w:bookmarkEnd w:id="1"/>
          </w:p>
        </w:tc>
        <w:tc>
          <w:tcPr>
            <w:tcW w:type="dxa" w:w="1880"/>
            <w:tcMar>
              <w:left w:type="dxa" w:w="28"/>
              <w:right w:type="dxa" w:w="28"/>
            </w:tcMar>
            <w:vAlign w:val="bottom"/>
          </w:tcPr>
          <w:p w14:paraId="0E000000">
            <w:pPr>
              <w:widowControl w:val="1"/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</w:p>
        </w:tc>
        <w:tc>
          <w:tcPr>
            <w:tcW w:type="dxa" w:w="3967"/>
            <w:gridSpan w:val="2"/>
            <w:tcMar>
              <w:left w:type="dxa" w:w="28"/>
              <w:right w:type="dxa" w:w="28"/>
            </w:tcMar>
            <w:vAlign w:val="bottom"/>
          </w:tcPr>
          <w:p w14:paraId="0F000000">
            <w:pPr>
              <w:ind/>
              <w:jc w:val="right"/>
              <w:rPr>
                <w:rFonts w:ascii="Times Sakha Unicode" w:hAnsi="Times Sakha Unicode"/>
                <w:sz w:val="28"/>
              </w:rPr>
            </w:pPr>
            <w:r>
              <w:rPr>
                <w:rFonts w:ascii="Times Sakha Unicode" w:hAnsi="Times Sakha Unicode"/>
                <w:sz w:val="28"/>
              </w:rPr>
              <w:t>№</w:t>
            </w:r>
            <w:bookmarkStart w:id="2" w:name="REGNUMSTAMP"/>
            <w:r>
              <w:rPr>
                <w:rFonts w:ascii="Times Sakha Unicode" w:hAnsi="Times Sakha Unicode"/>
                <w:sz w:val="28"/>
              </w:rPr>
              <w:t xml:space="preserve"> </w:t>
            </w:r>
            <w:r>
              <w:rPr>
                <w:rFonts w:ascii="Times Sakha Unicode" w:hAnsi="Times Sakha Unicode"/>
                <w:sz w:val="28"/>
              </w:rPr>
              <w:t xml:space="preserve">   </w:t>
            </w:r>
            <w:r>
              <w:rPr>
                <w:rFonts w:ascii="Times Sakha Unicode" w:hAnsi="Times Sakha Unicode"/>
                <w:sz w:val="28"/>
                <w:u w:val="single"/>
              </w:rPr>
              <w:t xml:space="preserve">[Место </w:t>
            </w:r>
            <w:r>
              <w:rPr>
                <w:rFonts w:ascii="Times Sakha Unicode" w:hAnsi="Times Sakha Unicode"/>
                <w:sz w:val="28"/>
                <w:u w:val="single"/>
              </w:rPr>
              <w:t>рег</w:t>
            </w:r>
            <w:r>
              <w:rPr>
                <w:rFonts w:ascii="Times Sakha Unicode" w:hAnsi="Times Sakha Unicode"/>
                <w:sz w:val="28"/>
                <w:u w:val="single"/>
              </w:rPr>
              <w:t xml:space="preserve"> номера]</w:t>
            </w:r>
            <w:bookmarkEnd w:id="2"/>
          </w:p>
        </w:tc>
      </w:tr>
      <w:tr>
        <w:trPr>
          <w:trHeight w:hRule="atLeast" w:val="550"/>
        </w:trPr>
        <w:tc>
          <w:tcPr>
            <w:tcW w:type="dxa" w:w="3960"/>
            <w:tcMar>
              <w:left w:type="dxa" w:w="28"/>
              <w:right w:type="dxa" w:w="28"/>
            </w:tcMar>
            <w:vAlign w:val="center"/>
          </w:tcPr>
          <w:p w14:paraId="10000000">
            <w:pPr>
              <w:widowControl w:val="1"/>
              <w:ind/>
              <w:rPr>
                <w:rFonts w:ascii="Times Sakha Unicode" w:hAnsi="Times Sakha Unicode"/>
                <w:sz w:val="26"/>
              </w:rPr>
            </w:pPr>
          </w:p>
        </w:tc>
        <w:tc>
          <w:tcPr>
            <w:tcW w:type="dxa" w:w="1880"/>
            <w:tcMar>
              <w:left w:type="dxa" w:w="28"/>
              <w:right w:type="dxa" w:w="28"/>
            </w:tcMar>
          </w:tcPr>
          <w:p w14:paraId="11000000">
            <w:pPr>
              <w:ind/>
              <w:jc w:val="center"/>
              <w:rPr>
                <w:rFonts w:ascii="Times Sakha Unicode" w:hAnsi="Times Sakha Unicode"/>
                <w:b w:val="1"/>
                <w:sz w:val="28"/>
              </w:rPr>
            </w:pPr>
            <w:r>
              <w:rPr>
                <w:rFonts w:ascii="Times Sakha Unicode" w:hAnsi="Times Sakha Unicode"/>
                <w:sz w:val="28"/>
              </w:rPr>
              <w:t>г. Якутск</w:t>
            </w:r>
          </w:p>
        </w:tc>
        <w:tc>
          <w:tcPr>
            <w:tcW w:type="dxa" w:w="1385"/>
            <w:tcMar>
              <w:left w:type="dxa" w:w="28"/>
              <w:right w:type="dxa" w:w="28"/>
            </w:tcMar>
            <w:vAlign w:val="center"/>
          </w:tcPr>
          <w:p w14:paraId="12000000">
            <w:pPr>
              <w:keepNext w:val="1"/>
              <w:keepLines w:val="1"/>
              <w:widowControl w:val="1"/>
              <w:ind/>
              <w:jc w:val="right"/>
              <w:outlineLvl w:val="1"/>
              <w:rPr>
                <w:rFonts w:ascii="Times Sakha Unicode" w:hAnsi="Times Sakha Unicode"/>
                <w:sz w:val="26"/>
              </w:rPr>
            </w:pPr>
          </w:p>
        </w:tc>
        <w:tc>
          <w:tcPr>
            <w:tcW w:type="dxa" w:w="2582"/>
            <w:tcMar>
              <w:left w:type="dxa" w:w="28"/>
              <w:right w:type="dxa" w:w="28"/>
            </w:tcMar>
            <w:vAlign w:val="center"/>
          </w:tcPr>
          <w:p w14:paraId="13000000">
            <w:pPr>
              <w:keepNext w:val="1"/>
              <w:keepLines w:val="1"/>
              <w:widowControl w:val="1"/>
              <w:ind/>
              <w:jc w:val="right"/>
              <w:outlineLvl w:val="1"/>
              <w:rPr>
                <w:rFonts w:ascii="Times Sakha Unicode" w:hAnsi="Times Sakha Unicode"/>
                <w:sz w:val="26"/>
              </w:rPr>
            </w:pPr>
          </w:p>
        </w:tc>
      </w:tr>
    </w:tbl>
    <w:p w14:paraId="14000000">
      <w:pPr>
        <w:rPr>
          <w:sz w:val="28"/>
        </w:rPr>
      </w:pPr>
    </w:p>
    <w:p w14:paraId="15000000">
      <w:pPr>
        <w:ind/>
        <w:jc w:val="center"/>
        <w:rPr>
          <w:rFonts w:ascii="XO Thames" w:hAnsi="XO Thames"/>
          <w:b w:val="1"/>
          <w:sz w:val="28"/>
        </w:rPr>
      </w:pPr>
      <w:r>
        <w:rPr>
          <w:rFonts w:ascii="XO Thames" w:hAnsi="XO Thames"/>
          <w:b w:val="1"/>
          <w:sz w:val="28"/>
        </w:rPr>
        <w:t>О внесении изменений в приказ Министерства труда и социального развития Республики Саха (Якутия) от 30 сентября 2019 года № 1184-ОД «Об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по осуществлению ежегодной денежной выплаты гражданам, награжденным нагрудным знаком «Почетный донор СССР» или «Почетный донор России»</w:t>
      </w:r>
    </w:p>
    <w:p w14:paraId="16000000">
      <w:pPr>
        <w:ind/>
        <w:jc w:val="center"/>
        <w:rPr>
          <w:rFonts w:ascii="XO Thames" w:hAnsi="XO Thames"/>
          <w:sz w:val="28"/>
        </w:rPr>
      </w:pPr>
    </w:p>
    <w:p w14:paraId="17000000">
      <w:pPr>
        <w:spacing w:after="0" w:before="0" w:line="360" w:lineRule="auto"/>
        <w:ind w:firstLine="567" w:left="0"/>
        <w:jc w:val="both"/>
        <w:rPr>
          <w:rFonts w:ascii="XO Thames" w:hAnsi="XO Thames"/>
          <w:b w:val="0"/>
          <w:sz w:val="28"/>
        </w:rPr>
      </w:pPr>
      <w:r>
        <w:rPr>
          <w:rFonts w:ascii="XO Thames" w:hAnsi="XO Thames"/>
          <w:sz w:val="28"/>
        </w:rPr>
        <w:t>В соответствии с Федеральным законом от 27 июля 2010 года № 210-Ф</w:t>
      </w:r>
      <w:r>
        <w:rPr>
          <w:rFonts w:ascii="XO Thames" w:hAnsi="XO Thames"/>
          <w:sz w:val="28"/>
        </w:rPr>
        <w:t xml:space="preserve">З «Об организации предоставления государственных и муниципальных услуг», </w:t>
      </w:r>
      <w:r>
        <w:rPr>
          <w:rFonts w:ascii="XO Thames" w:hAnsi="XO Thames"/>
          <w:sz w:val="28"/>
        </w:rPr>
        <w:t>постановления Правительства Российской Федерации от 29.12.2023 № 2386 «О государственной информационной системе «Единая централизованная цифровая платформа в социальной сфере»</w:t>
      </w:r>
      <w:r>
        <w:rPr>
          <w:rFonts w:ascii="XO Thames" w:hAnsi="XO Thames"/>
          <w:sz w:val="28"/>
        </w:rPr>
        <w:t xml:space="preserve"> приказываю:</w:t>
      </w:r>
    </w:p>
    <w:p w14:paraId="18000000">
      <w:pPr>
        <w:numPr>
          <w:numId w:val="1"/>
        </w:num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b w:val="0"/>
          <w:sz w:val="28"/>
        </w:rPr>
        <w:t xml:space="preserve">Внести в </w:t>
      </w:r>
      <w:r>
        <w:rPr>
          <w:rFonts w:ascii="XO Thames" w:hAnsi="XO Thames"/>
          <w:b w:val="0"/>
          <w:sz w:val="28"/>
        </w:rPr>
        <w:t>приказ Министерства т</w:t>
      </w:r>
      <w:r>
        <w:rPr>
          <w:rFonts w:ascii="XO Thames" w:hAnsi="XO Thames"/>
          <w:b w:val="0"/>
          <w:sz w:val="28"/>
        </w:rPr>
        <w:t xml:space="preserve">руда и социального развития Республики Саха (Якутия) </w:t>
      </w:r>
      <w:r>
        <w:rPr>
          <w:rFonts w:ascii="XO Thames" w:hAnsi="XO Thames"/>
          <w:b w:val="0"/>
          <w:sz w:val="28"/>
        </w:rPr>
        <w:t xml:space="preserve">от 30 сентября 2019 года № 1184-ОД «Об утверждении Административного регламента Министерства труда и социального развития Республики Саха (Якутия) по предоставлению государственной услуги по осуществлению ежегодной денежной выплаты гражданам, награжденным нагрудным знаком «Почетный донор СССР» или </w:t>
      </w:r>
      <w:r>
        <w:rPr>
          <w:rFonts w:ascii="XO Thames" w:hAnsi="XO Thames"/>
          <w:b w:val="0"/>
          <w:sz w:val="28"/>
        </w:rPr>
        <w:t>«Почетный донор России»</w:t>
      </w:r>
      <w:r>
        <w:rPr>
          <w:rFonts w:ascii="XO Thames" w:hAnsi="XO Thames"/>
          <w:sz w:val="28"/>
        </w:rPr>
        <w:t xml:space="preserve"> следующие изменения:</w:t>
      </w:r>
    </w:p>
    <w:p w14:paraId="19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1.1. Преамбулу изложить в следующей редакции:</w:t>
      </w:r>
    </w:p>
    <w:p w14:paraId="1A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«Во исполнение Федерального закона от 27 июля 2010 года № 210-ФЗ «Об организации предоставления государственных и муниципальных услуг» и </w:t>
      </w:r>
      <w:r>
        <w:rPr>
          <w:rFonts w:ascii="XO Thames" w:hAnsi="XO Thames"/>
          <w:b w:val="0"/>
          <w:i w:val="0"/>
          <w:caps w:val="0"/>
          <w:color w:val="000000"/>
          <w:spacing w:val="-4"/>
          <w:sz w:val="28"/>
        </w:rPr>
        <w:t>Постановления Правительства Республики Саха (Якутия) от 26.08.2021 № 296  «Об утверждении Порядка разработки и утверждения Административного регламента предоставления государственной услуги</w:t>
      </w:r>
      <w:r>
        <w:rPr>
          <w:rFonts w:ascii="XO Thames" w:hAnsi="XO Thames"/>
          <w:sz w:val="28"/>
        </w:rPr>
        <w:t>» приказываю:»</w:t>
      </w:r>
    </w:p>
    <w:p w14:paraId="1B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1.2. </w:t>
      </w:r>
      <w:r>
        <w:rPr>
          <w:rFonts w:ascii="XO Thames" w:hAnsi="XO Thames"/>
          <w:sz w:val="28"/>
        </w:rPr>
        <w:t xml:space="preserve">В </w:t>
      </w:r>
      <w:r>
        <w:rPr>
          <w:rFonts w:ascii="XO Thames" w:hAnsi="XO Thames"/>
          <w:b w:val="0"/>
          <w:sz w:val="28"/>
        </w:rPr>
        <w:t xml:space="preserve">Административном регламенте </w:t>
      </w:r>
      <w:r>
        <w:rPr>
          <w:rFonts w:ascii="XO Thames" w:hAnsi="XO Thames"/>
          <w:b w:val="0"/>
          <w:sz w:val="28"/>
        </w:rPr>
        <w:t xml:space="preserve">Министерства труда и социального развития Республики Саха (Якутия) по предоставлению государственной услуги по осуществлению ежегодной денежной выплаты гражданам, награжденным нагрудным знаком «Почетный донор СССР» или </w:t>
      </w:r>
      <w:r>
        <w:rPr>
          <w:rFonts w:ascii="XO Thames" w:hAnsi="XO Thames"/>
          <w:b w:val="0"/>
          <w:sz w:val="28"/>
        </w:rPr>
        <w:t>«Почетный донор России»</w:t>
      </w:r>
      <w:r>
        <w:rPr>
          <w:rFonts w:ascii="XO Thames" w:hAnsi="XO Thames"/>
          <w:b w:val="0"/>
          <w:sz w:val="28"/>
        </w:rPr>
        <w:t>:</w:t>
      </w:r>
    </w:p>
    <w:p w14:paraId="1C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1.2.1. В абзаце четвертом пункта 1.5 после слова «Управление» добавить слова «(Комплексный центр)».</w:t>
      </w:r>
    </w:p>
    <w:p w14:paraId="1D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1.2.2. В абзаце первом пункта 2.2 после слова «Управления» добавить слова «(Комплексные центры)».</w:t>
      </w:r>
    </w:p>
    <w:p w14:paraId="1E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>1.2.3. В пункте 2.15.1 слова «ЕСИССО» заменить на «ЕЦЦПСС».</w:t>
      </w:r>
    </w:p>
    <w:p w14:paraId="1F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2. </w:t>
      </w:r>
      <w:r>
        <w:rPr>
          <w:rFonts w:ascii="XO Thames" w:hAnsi="XO Thames"/>
          <w:sz w:val="28"/>
        </w:rPr>
        <w:t xml:space="preserve">Правовому отделу (Владимиров Д.Г.) </w:t>
      </w:r>
      <w:r>
        <w:rPr>
          <w:rFonts w:ascii="XO Thames" w:hAnsi="XO Thames"/>
          <w:sz w:val="28"/>
        </w:rPr>
        <w:t>не позднее 3 (трех) рабочих дней со дня подписания направить настоящий приказ для государственной регистрации в Государственный комитет юстиции Республики Саха (Якутия).</w:t>
      </w:r>
    </w:p>
    <w:p w14:paraId="20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  <w:r>
        <w:rPr>
          <w:rFonts w:ascii="XO Thames" w:hAnsi="XO Thames"/>
          <w:sz w:val="28"/>
        </w:rPr>
        <w:t xml:space="preserve">3. </w:t>
      </w:r>
      <w:r>
        <w:rPr>
          <w:rFonts w:ascii="XO Thames" w:hAnsi="XO Thames"/>
          <w:sz w:val="28"/>
        </w:rPr>
        <w:t xml:space="preserve">Департаменту цифрового развития и информационной политики (Гаврильев Н.Г.) </w:t>
      </w:r>
      <w:r>
        <w:rPr>
          <w:rFonts w:ascii="XO Thames" w:hAnsi="XO Thames"/>
          <w:sz w:val="28"/>
        </w:rPr>
        <w:t xml:space="preserve">разместить приказ на официальном сайте Министерства труда и социального развития Республики Саха (Якутия) после государственной регистрации. </w:t>
      </w:r>
    </w:p>
    <w:p w14:paraId="21000000">
      <w:pPr>
        <w:spacing w:after="0" w:before="0" w:line="360" w:lineRule="auto"/>
        <w:ind w:firstLine="567" w:left="0" w:right="0"/>
        <w:jc w:val="both"/>
        <w:rPr>
          <w:rFonts w:ascii="XO Thames" w:hAnsi="XO Thames"/>
          <w:sz w:val="28"/>
        </w:rPr>
      </w:pPr>
    </w:p>
    <w:tbl>
      <w:tblPr>
        <w:tblStyle w:val="Style_2"/>
        <w:tblW w:type="auto" w:w="0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2263"/>
        <w:gridCol w:w="4678"/>
        <w:gridCol w:w="2188"/>
      </w:tblGrid>
      <w:tr>
        <w:trPr>
          <w:trHeight w:hRule="atLeast" w:val="1125"/>
        </w:trPr>
        <w:tc>
          <w:tcPr>
            <w:tcW w:type="dxa" w:w="2263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vAlign w:val="center"/>
          </w:tcPr>
          <w:p w14:paraId="22000000">
            <w:pPr>
              <w:rPr>
                <w:sz w:val="28"/>
              </w:rPr>
            </w:pPr>
            <w:bookmarkStart w:id="3" w:name="SIGNERPOST1"/>
            <w:r>
              <w:rPr>
                <w:sz w:val="28"/>
              </w:rPr>
              <w:t>Должность</w:t>
            </w:r>
            <w:bookmarkEnd w:id="3"/>
          </w:p>
        </w:tc>
        <w:tc>
          <w:tcPr>
            <w:tcW w:type="dxa" w:w="4678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23000000">
            <w:pPr>
              <w:rPr>
                <w:sz w:val="28"/>
              </w:rPr>
            </w:pPr>
            <w:bookmarkStart w:id="4" w:name="SIGNERSTAMP1"/>
            <w:r>
              <w:rPr>
                <w:sz w:val="28"/>
              </w:rPr>
              <w:t>ШТАМП</w:t>
            </w:r>
            <w:bookmarkEnd w:id="4"/>
          </w:p>
        </w:tc>
        <w:tc>
          <w:tcPr>
            <w:tcW w:type="dxa" w:w="2188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  <w:vAlign w:val="center"/>
          </w:tcPr>
          <w:p w14:paraId="24000000">
            <w:pPr>
              <w:ind/>
              <w:jc w:val="center"/>
              <w:rPr>
                <w:sz w:val="28"/>
              </w:rPr>
            </w:pPr>
            <w:bookmarkStart w:id="5" w:name="SIGNERNAME1"/>
            <w:r>
              <w:rPr>
                <w:sz w:val="28"/>
              </w:rPr>
              <w:t>ФИО</w:t>
            </w:r>
            <w:bookmarkEnd w:id="5"/>
          </w:p>
        </w:tc>
      </w:tr>
    </w:tbl>
    <w:p w14:paraId="25000000">
      <w:pPr>
        <w:ind/>
        <w:jc w:val="right"/>
        <w:rPr>
          <w:rFonts w:ascii="XO Thames" w:hAnsi="XO Thames"/>
          <w:sz w:val="24"/>
        </w:rPr>
      </w:pPr>
      <w:bookmarkStart w:id="6" w:name="_GoBack"/>
      <w:bookmarkEnd w:id="6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0"/>
    </w:rPr>
  </w:style>
  <w:style w:default="1" w:styleId="Style_3_ch" w:type="character">
    <w:name w:val="Normal"/>
    <w:link w:val="Style_3"/>
    <w:rPr>
      <w:rFonts w:ascii="Times New Roman" w:hAnsi="Times New Roman"/>
      <w:sz w:val="20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Balloon Text"/>
    <w:basedOn w:val="Style_3"/>
    <w:link w:val="Style_8_ch"/>
    <w:rPr>
      <w:rFonts w:ascii="Segoe UI" w:hAnsi="Segoe UI"/>
      <w:sz w:val="18"/>
    </w:rPr>
  </w:style>
  <w:style w:styleId="Style_8_ch" w:type="character">
    <w:name w:val="Balloon Text"/>
    <w:basedOn w:val="Style_3_ch"/>
    <w:link w:val="Style_8"/>
    <w:rPr>
      <w:rFonts w:ascii="Segoe UI" w:hAnsi="Segoe UI"/>
      <w:sz w:val="18"/>
    </w:rPr>
  </w:style>
  <w:style w:styleId="Style_9" w:type="paragraph">
    <w:name w:val="Endnote"/>
    <w:link w:val="Style_9_ch"/>
    <w:pPr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3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Основной текст1"/>
    <w:basedOn w:val="Style_3"/>
    <w:link w:val="Style_11_ch"/>
    <w:pPr>
      <w:ind w:firstLine="400" w:left="0"/>
    </w:pPr>
    <w:rPr>
      <w:sz w:val="28"/>
    </w:rPr>
  </w:style>
  <w:style w:styleId="Style_11_ch" w:type="character">
    <w:name w:val="Основной текст1"/>
    <w:basedOn w:val="Style_3_ch"/>
    <w:link w:val="Style_11"/>
    <w:rPr>
      <w:sz w:val="28"/>
    </w:rPr>
  </w:style>
  <w:style w:styleId="Style_12" w:type="paragraph">
    <w:name w:val="toc 3"/>
    <w:next w:val="Style_3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3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3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8"/>
    <w:next w:val="Style_3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3"/>
    <w:link w:val="Style_22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Subtitle"/>
    <w:next w:val="Style_3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3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3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3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Table Grid"/>
    <w:basedOn w:val="Style_1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jpe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2024-12-12T05:27:09Z</dcterms:modified>
</cp:coreProperties>
</file>