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Проект</w:t>
      </w:r>
    </w:p>
    <w:p w14:paraId="02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03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04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УКАЗ ГЛАВЫ</w:t>
      </w:r>
    </w:p>
    <w:p w14:paraId="05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РЕСПУБЛИКИ САХА (ЯКУТИЯ)</w:t>
      </w:r>
    </w:p>
    <w:p w14:paraId="06000000">
      <w:pPr>
        <w:spacing w:after="480"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spacing w:after="480" w:line="24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«____»_____________20___года N______</w:t>
      </w:r>
    </w:p>
    <w:p w14:paraId="08000000">
      <w:pPr>
        <w:spacing w:after="480" w:line="240" w:lineRule="auto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8"/>
        </w:rPr>
        <w:t>О внесении изменений в Указ Главы</w:t>
      </w:r>
      <w:r>
        <w:rPr>
          <w:rFonts w:ascii="Times New Roman" w:hAnsi="Times New Roman"/>
          <w:b w:val="1"/>
          <w:sz w:val="28"/>
        </w:rPr>
        <w:t xml:space="preserve"> Республики Саха (Якутия) от 13 ноября 2023 г. № 91 «Об утверждении инфраструктурного проекта «Строительство новой котельной на щепе с тепловыми сетями в с. </w:t>
      </w:r>
      <w:r>
        <w:rPr>
          <w:rFonts w:ascii="Times New Roman" w:hAnsi="Times New Roman"/>
          <w:b w:val="1"/>
          <w:sz w:val="28"/>
        </w:rPr>
        <w:t>Кустур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Эвено-Бытантайского</w:t>
      </w:r>
      <w:r>
        <w:rPr>
          <w:rFonts w:ascii="Times New Roman" w:hAnsi="Times New Roman"/>
          <w:b w:val="1"/>
          <w:sz w:val="28"/>
        </w:rPr>
        <w:t xml:space="preserve"> улуса», источником финансового обеспечения </w:t>
      </w:r>
      <w:r>
        <w:rPr>
          <w:rFonts w:ascii="Times New Roman" w:hAnsi="Times New Roman"/>
          <w:b w:val="1"/>
          <w:sz w:val="28"/>
        </w:rPr>
        <w:t>расходов</w:t>
      </w:r>
      <w:r>
        <w:rPr>
          <w:rFonts w:ascii="Times New Roman" w:hAnsi="Times New Roman"/>
          <w:b w:val="1"/>
          <w:sz w:val="28"/>
        </w:rPr>
        <w:t xml:space="preserve"> на реализацию которо</w:t>
      </w:r>
      <w:r>
        <w:rPr>
          <w:rFonts w:ascii="Times New Roman" w:hAnsi="Times New Roman"/>
          <w:b w:val="1"/>
          <w:sz w:val="28"/>
        </w:rPr>
        <w:t xml:space="preserve">го является бюджетный кредит, предоставленный за счет временно свободных средств единого счета федерального бюджета бюджетам субъектов Российской Федерации на финансовое обеспечение реализации инфраструктурных проектов» </w:t>
      </w:r>
    </w:p>
    <w:p w14:paraId="09000000">
      <w:pPr>
        <w:spacing w:after="0" w:line="360" w:lineRule="exact"/>
        <w:ind w:firstLine="708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В соответствии с подпунктом «ж» пункта 10 Правил пред</w:t>
      </w:r>
      <w:r>
        <w:rPr>
          <w:rFonts w:ascii="Times New Roman" w:hAnsi="Times New Roman"/>
          <w:sz w:val="28"/>
        </w:rPr>
        <w:t>оставления Федеральным казначейством бюджетам субъектов Российской Федерации бюджетных кредитов за счет временно свободных средств единого счета федерального бюджета, утвержденных постановлением Правительства Российской Федерации от 31 марта 2023 г. № 525,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 xml:space="preserve"> о с т а н о в л я ю: </w:t>
      </w:r>
    </w:p>
    <w:p w14:paraId="0A000000">
      <w:pPr>
        <w:numPr>
          <w:numId w:val="1"/>
        </w:num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Внести в Указ Главы</w:t>
      </w:r>
      <w:r>
        <w:rPr>
          <w:rStyle w:val="Style_1_ch"/>
          <w:rFonts w:ascii="Times New Roman" w:hAnsi="Times New Roman"/>
          <w:sz w:val="28"/>
        </w:rPr>
        <w:t xml:space="preserve"> Республики Саха (Якутия) от 13 ноября 2023 г. № 91 «Об утверждении инфраструктурного проекта «Строительство новой котельной на щепе с тепловыми сетями в с. </w:t>
      </w:r>
      <w:r>
        <w:rPr>
          <w:rStyle w:val="Style_1_ch"/>
          <w:rFonts w:ascii="Times New Roman" w:hAnsi="Times New Roman"/>
          <w:sz w:val="28"/>
        </w:rPr>
        <w:t>Кустур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Эвено-Бытантайского</w:t>
      </w:r>
      <w:r>
        <w:rPr>
          <w:rStyle w:val="Style_1_ch"/>
          <w:rFonts w:ascii="Times New Roman" w:hAnsi="Times New Roman"/>
          <w:sz w:val="28"/>
        </w:rPr>
        <w:t xml:space="preserve"> улуса», источником финансового обеспечения </w:t>
      </w:r>
      <w:r>
        <w:rPr>
          <w:rStyle w:val="Style_1_ch"/>
          <w:rFonts w:ascii="Times New Roman" w:hAnsi="Times New Roman"/>
          <w:sz w:val="28"/>
        </w:rPr>
        <w:t>расходов</w:t>
      </w:r>
      <w:r>
        <w:rPr>
          <w:rStyle w:val="Style_1_ch"/>
          <w:rFonts w:ascii="Times New Roman" w:hAnsi="Times New Roman"/>
          <w:sz w:val="28"/>
        </w:rPr>
        <w:t xml:space="preserve"> на реализацию которо</w:t>
      </w:r>
      <w:r>
        <w:rPr>
          <w:rStyle w:val="Style_1_ch"/>
          <w:rFonts w:ascii="Times New Roman" w:hAnsi="Times New Roman"/>
          <w:sz w:val="28"/>
        </w:rPr>
        <w:t>го является бюджетный кредит, предоставленный за счет временно свободных средств единого счета федерального бюджета бюджетам субъектов Российской Федерации на финансовое обеспечение реализации инфраструктурных проектов» следующие изменения:</w:t>
      </w:r>
    </w:p>
    <w:p w14:paraId="0B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пункте 1 после слов «</w:t>
      </w:r>
      <w:r>
        <w:rPr>
          <w:rFonts w:ascii="Times New Roman" w:hAnsi="Times New Roman"/>
          <w:sz w:val="28"/>
        </w:rPr>
        <w:t>(далее - специальный казначейский кредит)</w:t>
      </w:r>
      <w:r>
        <w:rPr>
          <w:rFonts w:ascii="Times New Roman" w:hAnsi="Times New Roman"/>
          <w:sz w:val="28"/>
        </w:rPr>
        <w:t>» дополнить словами «согласно приложению № 1 к настоящему Ука</w:t>
      </w:r>
      <w:r>
        <w:rPr>
          <w:rFonts w:ascii="Times New Roman" w:hAnsi="Times New Roman"/>
          <w:sz w:val="28"/>
        </w:rPr>
        <w:t>зу».</w:t>
      </w:r>
    </w:p>
    <w:p w14:paraId="0C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1.2.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Приложение изложить в редакции согласно приложению № 1 к настоящему Указу.</w:t>
      </w:r>
    </w:p>
    <w:p w14:paraId="0D000000">
      <w:pPr>
        <w:spacing w:after="0" w:before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 xml:space="preserve">Дополнить </w:t>
      </w:r>
      <w:r>
        <w:rPr>
          <w:rStyle w:val="Style_1_ch"/>
          <w:rFonts w:ascii="Times New Roman" w:hAnsi="Times New Roman"/>
          <w:sz w:val="28"/>
        </w:rPr>
        <w:t>приложением</w:t>
      </w:r>
      <w:r>
        <w:rPr>
          <w:rStyle w:val="Style_1_ch"/>
          <w:rFonts w:ascii="Times New Roman" w:hAnsi="Times New Roman"/>
          <w:sz w:val="28"/>
        </w:rPr>
        <w:t xml:space="preserve"> №</w:t>
      </w:r>
      <w:r>
        <w:rPr>
          <w:rStyle w:val="Style_1_ch"/>
          <w:rFonts w:ascii="Times New Roman" w:hAnsi="Times New Roman"/>
          <w:sz w:val="28"/>
        </w:rPr>
        <w:t xml:space="preserve"> 2</w:t>
      </w:r>
      <w:r>
        <w:rPr>
          <w:rStyle w:val="Style_1_ch"/>
          <w:rFonts w:ascii="Times New Roman" w:hAnsi="Times New Roman"/>
          <w:sz w:val="28"/>
        </w:rPr>
        <w:t xml:space="preserve"> «Детализированный </w:t>
      </w:r>
      <w:r>
        <w:rPr>
          <w:rStyle w:val="Style_1_ch"/>
          <w:rFonts w:ascii="Times New Roman" w:hAnsi="Times New Roman"/>
          <w:sz w:val="28"/>
        </w:rPr>
        <w:t xml:space="preserve">перечень </w:t>
      </w:r>
      <w:r>
        <w:rPr>
          <w:rStyle w:val="Style_1_ch"/>
          <w:rFonts w:ascii="Times New Roman" w:hAnsi="Times New Roman"/>
          <w:sz w:val="28"/>
        </w:rPr>
        <w:t xml:space="preserve">инфраструктурного проекта реализуемого в рамках одобренного президиумом </w:t>
      </w:r>
      <w:r>
        <w:rPr>
          <w:rStyle w:val="Style_1_ch"/>
          <w:rFonts w:ascii="Times New Roman" w:hAnsi="Times New Roman"/>
          <w:sz w:val="28"/>
        </w:rPr>
        <w:t xml:space="preserve">(штабом) Правительственной комиссии по региональному развитию в Российской </w:t>
      </w:r>
      <w:r>
        <w:rPr>
          <w:rStyle w:val="Style_1_ch"/>
          <w:rFonts w:ascii="Times New Roman" w:hAnsi="Times New Roman"/>
          <w:sz w:val="28"/>
        </w:rPr>
        <w:t xml:space="preserve">Федерации мероприятия в соответствии с постановлением Правительства </w:t>
      </w:r>
      <w:r>
        <w:rPr>
          <w:rStyle w:val="Style_1_ch"/>
          <w:rFonts w:ascii="Times New Roman" w:hAnsi="Times New Roman"/>
          <w:sz w:val="28"/>
        </w:rPr>
        <w:t>Российской Федерации от 31 марта 2023 г. № 525» согласно приложению № 2 к</w:t>
      </w:r>
      <w:r>
        <w:rPr>
          <w:rStyle w:val="Style_1_ch"/>
          <w:rFonts w:ascii="Times New Roman" w:hAnsi="Times New Roman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t>настоящему Указу.».</w:t>
      </w:r>
    </w:p>
    <w:p w14:paraId="0E000000">
      <w:pPr>
        <w:numPr>
          <w:numId w:val="1"/>
        </w:numPr>
        <w:spacing w:after="0" w:before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Настоящий Указ вступает в силу со дня подписания.</w:t>
      </w:r>
    </w:p>
    <w:p w14:paraId="0F000000">
      <w:pPr>
        <w:numPr>
          <w:numId w:val="1"/>
        </w:numPr>
        <w:spacing w:after="0" w:before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Опубликовать настоящий Указ в официальных средствах массовой информации.</w:t>
      </w:r>
    </w:p>
    <w:p w14:paraId="10000000">
      <w:pPr>
        <w:spacing w:after="0" w:before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1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12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13000000">
      <w:pPr>
        <w:spacing w:after="0" w:line="240" w:lineRule="auto"/>
        <w:ind/>
        <w:jc w:val="lef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Глава</w:t>
      </w:r>
    </w:p>
    <w:p w14:paraId="14000000">
      <w:pPr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Республики Саха (Якутия)</w:t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>А. НИКОЛАЕВ</w:t>
      </w:r>
    </w:p>
    <w:p w14:paraId="15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6000000">
      <w:pPr>
        <w:sectPr>
          <w:pgSz w:h="16838" w:orient="portrait" w:w="11906"/>
          <w:pgMar w:bottom="1134" w:footer="0" w:gutter="0" w:header="0" w:left="1701" w:right="850" w:top="1134"/>
        </w:sectPr>
      </w:pPr>
    </w:p>
    <w:p w14:paraId="17000000">
      <w:pPr>
        <w:spacing w:after="0" w:line="240" w:lineRule="auto"/>
        <w:ind w:firstLine="8364" w:left="0"/>
        <w:jc w:val="center"/>
        <w:rPr>
          <w:rFonts w:ascii="Times New Roman" w:hAnsi="Times New Roman"/>
          <w:sz w:val="28"/>
        </w:rPr>
      </w:pPr>
    </w:p>
    <w:p w14:paraId="18000000">
      <w:pPr>
        <w:spacing w:after="0" w:line="240" w:lineRule="auto"/>
        <w:ind w:firstLine="8364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ПРИЛОЖЕНИЕ № 1</w:t>
      </w:r>
      <w:bookmarkStart w:id="1" w:name="_GoBack"/>
      <w:bookmarkEnd w:id="1"/>
    </w:p>
    <w:p w14:paraId="19000000">
      <w:pPr>
        <w:spacing w:after="0" w:line="240" w:lineRule="auto"/>
        <w:ind w:firstLine="8364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Указу Главы</w:t>
      </w:r>
    </w:p>
    <w:p w14:paraId="1A000000">
      <w:pPr>
        <w:spacing w:after="0" w:line="240" w:lineRule="auto"/>
        <w:ind w:firstLine="8364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Саха (Якутия)</w:t>
      </w:r>
    </w:p>
    <w:p w14:paraId="1B000000">
      <w:pPr>
        <w:spacing w:after="0" w:line="240" w:lineRule="auto"/>
        <w:ind w:firstLine="8364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от __________________ 20___ г. №____</w:t>
      </w:r>
    </w:p>
    <w:p w14:paraId="1C000000">
      <w:pPr>
        <w:rPr>
          <w:rFonts w:ascii="Times New Roman" w:hAnsi="Times New Roman"/>
          <w:sz w:val="24"/>
        </w:rPr>
      </w:pPr>
    </w:p>
    <w:p w14:paraId="1D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Инфраструктурный проект «Строительство новой котельной на щепе с тепловыми сетями в с. </w:t>
      </w:r>
      <w:r>
        <w:rPr>
          <w:rFonts w:ascii="Times New Roman" w:hAnsi="Times New Roman"/>
          <w:b w:val="1"/>
          <w:sz w:val="28"/>
        </w:rPr>
        <w:t>Кустур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Эвено-Бытантайского</w:t>
      </w:r>
      <w:r>
        <w:rPr>
          <w:rFonts w:ascii="Times New Roman" w:hAnsi="Times New Roman"/>
          <w:b w:val="1"/>
          <w:sz w:val="28"/>
        </w:rPr>
        <w:t xml:space="preserve"> улуса», источником финансового обеспечения </w:t>
      </w:r>
      <w:r>
        <w:rPr>
          <w:rFonts w:ascii="Times New Roman" w:hAnsi="Times New Roman"/>
          <w:b w:val="1"/>
          <w:sz w:val="28"/>
        </w:rPr>
        <w:t>расходов</w:t>
      </w:r>
      <w:r>
        <w:rPr>
          <w:rFonts w:ascii="Times New Roman" w:hAnsi="Times New Roman"/>
          <w:b w:val="1"/>
          <w:sz w:val="28"/>
        </w:rPr>
        <w:t xml:space="preserve"> на</w:t>
      </w:r>
      <w:r>
        <w:rPr>
          <w:rFonts w:ascii="Times New Roman" w:hAnsi="Times New Roman"/>
          <w:b w:val="1"/>
          <w:sz w:val="28"/>
        </w:rPr>
        <w:t xml:space="preserve"> реализацию которого является бюджетный кредит за счет временно свободных средств единого счета федерального бюджета бюджетам субъектов Российской Федерации на финансовое обеспечение реализации инфраструктурных проектов</w:t>
      </w:r>
      <w:r>
        <w:rPr>
          <w:rFonts w:ascii="Times New Roman" w:hAnsi="Times New Roman"/>
          <w:b w:val="1"/>
          <w:sz w:val="28"/>
        </w:rPr>
        <w:t>»</w:t>
      </w:r>
    </w:p>
    <w:p w14:paraId="1E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1F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</w:p>
    <w:tbl>
      <w:tblPr>
        <w:tblStyle w:val="Style_2"/>
        <w:tblW w:type="auto" w:w="0"/>
        <w:tblInd w:type="dxa" w:w="-459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32"/>
        <w:gridCol w:w="1433"/>
        <w:gridCol w:w="1635"/>
        <w:gridCol w:w="1305"/>
        <w:gridCol w:w="1380"/>
        <w:gridCol w:w="1439"/>
        <w:gridCol w:w="1355"/>
        <w:gridCol w:w="899"/>
        <w:gridCol w:w="931"/>
        <w:gridCol w:w="1463"/>
        <w:gridCol w:w="1198"/>
        <w:gridCol w:w="1340"/>
      </w:tblGrid>
      <w:tr>
        <w:tc>
          <w:tcPr>
            <w:tcW w:type="dxa" w:w="53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0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</w:t>
            </w:r>
            <w:r>
              <w:rPr>
                <w:rFonts w:ascii="Times New Roman" w:hAnsi="Times New Roman"/>
                <w:sz w:val="24"/>
              </w:rPr>
              <w:t>/п</w:t>
            </w:r>
          </w:p>
        </w:tc>
        <w:tc>
          <w:tcPr>
            <w:tcW w:type="dxa" w:w="1433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1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инвестиционного проекта</w:t>
            </w:r>
          </w:p>
        </w:tc>
        <w:tc>
          <w:tcPr>
            <w:tcW w:type="dxa" w:w="163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объекта инфраструктуры/адрес объекта/проектная мощность объекта</w:t>
            </w:r>
          </w:p>
        </w:tc>
        <w:tc>
          <w:tcPr>
            <w:tcW w:type="dxa" w:w="130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Форма реализации мероприятия</w:t>
            </w:r>
          </w:p>
        </w:tc>
        <w:tc>
          <w:tcPr>
            <w:tcW w:type="dxa" w:w="138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4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Сроки реализации</w:t>
            </w:r>
          </w:p>
        </w:tc>
        <w:tc>
          <w:tcPr>
            <w:tcW w:type="dxa" w:w="4624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Источники финансирования</w:t>
            </w:r>
          </w:p>
        </w:tc>
        <w:tc>
          <w:tcPr>
            <w:tcW w:type="dxa" w:w="1463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Ответственный исполнитель</w:t>
            </w:r>
          </w:p>
        </w:tc>
        <w:tc>
          <w:tcPr>
            <w:tcW w:type="dxa" w:w="119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Главный распорядитель бюджетных средств</w:t>
            </w:r>
          </w:p>
        </w:tc>
        <w:tc>
          <w:tcPr>
            <w:tcW w:type="dxa" w:w="134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Заказчик</w:t>
            </w:r>
          </w:p>
        </w:tc>
      </w:tr>
      <w:tr>
        <w:tc>
          <w:tcPr>
            <w:tcW w:type="dxa" w:w="53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433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63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3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3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43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type="dxa" w:w="3185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числе:</w:t>
            </w:r>
          </w:p>
        </w:tc>
        <w:tc>
          <w:tcPr>
            <w:tcW w:type="dxa" w:w="1463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19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34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c>
          <w:tcPr>
            <w:tcW w:type="dxa" w:w="53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433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63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3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3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43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специальный казначейский кредит</w:t>
            </w:r>
          </w:p>
        </w:tc>
        <w:tc>
          <w:tcPr>
            <w:tcW w:type="dxa" w:w="8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консолидированный региональный бюджет</w:t>
            </w:r>
          </w:p>
        </w:tc>
        <w:tc>
          <w:tcPr>
            <w:tcW w:type="dxa" w:w="9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внебюджетные источники</w:t>
            </w:r>
          </w:p>
        </w:tc>
        <w:tc>
          <w:tcPr>
            <w:tcW w:type="dxa" w:w="1463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19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34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c>
          <w:tcPr>
            <w:tcW w:type="dxa" w:w="53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433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63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3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3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4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тыс. руб.</w:t>
            </w:r>
          </w:p>
        </w:tc>
        <w:tc>
          <w:tcPr>
            <w:tcW w:type="dxa" w:w="1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тыс. руб.</w:t>
            </w:r>
          </w:p>
        </w:tc>
        <w:tc>
          <w:tcPr>
            <w:tcW w:type="dxa" w:w="8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тыс. руб.</w:t>
            </w:r>
          </w:p>
        </w:tc>
        <w:tc>
          <w:tcPr>
            <w:tcW w:type="dxa" w:w="9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тыс. руб.</w:t>
            </w:r>
          </w:p>
        </w:tc>
        <w:tc>
          <w:tcPr>
            <w:tcW w:type="dxa" w:w="1463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19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  <w:tc>
          <w:tcPr>
            <w:tcW w:type="dxa" w:w="134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/>
        </w:tc>
      </w:tr>
      <w:tr>
        <w:tc>
          <w:tcPr>
            <w:tcW w:type="dxa" w:w="5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14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1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13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13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14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type="dxa" w:w="1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type="dxa" w:w="8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type="dxa" w:w="9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type="dxa" w:w="146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type="dxa" w:w="11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type="dxa" w:w="13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</w:tr>
      <w:tr>
        <w:tc>
          <w:tcPr>
            <w:tcW w:type="dxa" w:w="5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14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Строительство новой котельной на щепе с тепловыми сетями </w:t>
            </w:r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z w:val="24"/>
              </w:rPr>
              <w:t xml:space="preserve"> с. </w:t>
            </w:r>
            <w:r>
              <w:rPr>
                <w:rFonts w:ascii="Times New Roman" w:hAnsi="Times New Roman"/>
                <w:sz w:val="24"/>
              </w:rPr>
              <w:t>Кустур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Эвено-Бытантайского</w:t>
            </w:r>
            <w:r>
              <w:rPr>
                <w:rFonts w:ascii="Times New Roman" w:hAnsi="Times New Roman"/>
                <w:sz w:val="24"/>
              </w:rPr>
              <w:t xml:space="preserve"> улуса</w:t>
            </w:r>
          </w:p>
        </w:tc>
        <w:tc>
          <w:tcPr>
            <w:tcW w:type="dxa" w:w="1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Котельная на щепе с тепловыми сетями </w:t>
            </w:r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z w:val="24"/>
              </w:rPr>
              <w:t xml:space="preserve"> с. </w:t>
            </w:r>
            <w:r>
              <w:rPr>
                <w:rFonts w:ascii="Times New Roman" w:hAnsi="Times New Roman"/>
                <w:sz w:val="24"/>
              </w:rPr>
              <w:t>Кустур</w:t>
            </w:r>
            <w:r>
              <w:rPr>
                <w:rFonts w:ascii="Times New Roman" w:hAnsi="Times New Roman"/>
                <w:sz w:val="24"/>
              </w:rPr>
              <w:t>/</w:t>
            </w:r>
            <w:r>
              <w:rPr>
                <w:rFonts w:ascii="Times New Roman" w:hAnsi="Times New Roman"/>
                <w:sz w:val="24"/>
              </w:rPr>
              <w:t>Республика</w:t>
            </w:r>
            <w:r>
              <w:rPr>
                <w:rFonts w:ascii="Times New Roman" w:hAnsi="Times New Roman"/>
                <w:sz w:val="24"/>
              </w:rPr>
              <w:t xml:space="preserve"> Саха (Якутия), </w:t>
            </w:r>
            <w:r>
              <w:rPr>
                <w:rFonts w:ascii="Times New Roman" w:hAnsi="Times New Roman"/>
                <w:sz w:val="24"/>
              </w:rPr>
              <w:t>Эвено-Бытантайский</w:t>
            </w:r>
            <w:r>
              <w:rPr>
                <w:rFonts w:ascii="Times New Roman" w:hAnsi="Times New Roman"/>
                <w:sz w:val="24"/>
              </w:rPr>
              <w:t xml:space="preserve"> национальный район, СП "Нижне-</w:t>
            </w:r>
            <w:r>
              <w:rPr>
                <w:rFonts w:ascii="Times New Roman" w:hAnsi="Times New Roman"/>
                <w:sz w:val="24"/>
              </w:rPr>
              <w:t>Бытантайский</w:t>
            </w:r>
            <w:r>
              <w:rPr>
                <w:rFonts w:ascii="Times New Roman" w:hAnsi="Times New Roman"/>
                <w:sz w:val="24"/>
              </w:rPr>
              <w:t xml:space="preserve"> наслег", с. </w:t>
            </w:r>
            <w:r>
              <w:rPr>
                <w:rFonts w:ascii="Times New Roman" w:hAnsi="Times New Roman"/>
                <w:sz w:val="24"/>
              </w:rPr>
              <w:t>Кустур</w:t>
            </w:r>
            <w:r>
              <w:rPr>
                <w:rFonts w:ascii="Times New Roman" w:hAnsi="Times New Roman"/>
                <w:sz w:val="24"/>
              </w:rPr>
              <w:t>/мощность 3 МВт</w:t>
            </w:r>
          </w:p>
        </w:tc>
        <w:tc>
          <w:tcPr>
            <w:tcW w:type="dxa" w:w="13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Проектирование и с</w:t>
            </w:r>
            <w:r>
              <w:rPr>
                <w:rFonts w:ascii="Times New Roman" w:hAnsi="Times New Roman"/>
                <w:sz w:val="24"/>
              </w:rPr>
              <w:t>троительство</w:t>
            </w:r>
          </w:p>
        </w:tc>
        <w:tc>
          <w:tcPr>
            <w:tcW w:type="dxa" w:w="13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2023-2025</w:t>
            </w:r>
          </w:p>
        </w:tc>
        <w:tc>
          <w:tcPr>
            <w:tcW w:type="dxa" w:w="14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481 776,00</w:t>
            </w:r>
          </w:p>
        </w:tc>
        <w:tc>
          <w:tcPr>
            <w:tcW w:type="dxa" w:w="1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481 776,00</w:t>
            </w:r>
          </w:p>
        </w:tc>
        <w:tc>
          <w:tcPr>
            <w:tcW w:type="dxa" w:w="8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type="dxa" w:w="9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type="dxa" w:w="146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Министерство жилищно-коммунального хозяйства и энергетики Республики Саха (Якутия)</w:t>
            </w:r>
          </w:p>
        </w:tc>
        <w:tc>
          <w:tcPr>
            <w:tcW w:type="dxa" w:w="11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Министерство жилищно-коммунального хозяйства и энергетики Республики Саха (Якутия)</w:t>
            </w:r>
          </w:p>
        </w:tc>
        <w:tc>
          <w:tcPr>
            <w:tcW w:type="dxa" w:w="13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ГУП "Жилищно-коммунальное хозяйство Республики Саха (Якутия)"</w:t>
            </w:r>
          </w:p>
        </w:tc>
      </w:tr>
    </w:tbl>
    <w:p w14:paraId="4A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4B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</w:t>
      </w:r>
    </w:p>
    <w:p w14:paraId="4C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4D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4E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4F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50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51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52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53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54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55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56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57000000">
      <w:pPr>
        <w:sectPr>
          <w:pgSz w:h="11906" w:orient="landscape" w:w="16838"/>
          <w:pgMar w:bottom="737" w:footer="0" w:gutter="0" w:header="0" w:left="964" w:right="850" w:top="709"/>
        </w:sectPr>
      </w:pPr>
    </w:p>
    <w:p w14:paraId="58000000">
      <w:pPr>
        <w:spacing w:after="0" w:line="240" w:lineRule="auto"/>
        <w:ind w:firstLine="8364" w:left="0"/>
        <w:jc w:val="right"/>
        <w:rPr>
          <w:rFonts w:ascii="Times New Roman" w:hAnsi="Times New Roman"/>
          <w:sz w:val="28"/>
        </w:rPr>
      </w:pPr>
    </w:p>
    <w:tbl>
      <w:tblPr>
        <w:tblStyle w:val="Style_2"/>
        <w:tblW w:type="auto" w:w="0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047"/>
        <w:gridCol w:w="5047"/>
      </w:tblGrid>
      <w:tr>
        <w:trPr>
          <w:trHeight w:hRule="atLeast" w:val="360"/>
        </w:trPr>
        <w:tc>
          <w:tcPr>
            <w:tcW w:type="dxa" w:w="5047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  <w:tl2br w:color="000000" w:sz="4" w:val="nil"/>
              <w:tr2bl w:color="000000" w:sz="4" w:val="nil"/>
            </w:tcBorders>
          </w:tcPr>
          <w:p/>
        </w:tc>
        <w:tc>
          <w:tcPr>
            <w:tcW w:type="dxa" w:w="5047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  <w:tl2br w:color="000000" w:sz="4" w:val="nil"/>
              <w:tr2bl w:color="000000" w:sz="4" w:val="nil"/>
            </w:tcBorders>
          </w:tcPr>
          <w:p w14:paraId="59000000">
            <w:pPr>
              <w:spacing w:after="0" w:line="240" w:lineRule="auto"/>
              <w:ind w:firstLine="0" w:left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ПРИЛОЖЕНИЕ № 2</w:t>
            </w:r>
          </w:p>
          <w:p w14:paraId="5A000000">
            <w:pPr>
              <w:spacing w:after="0" w:line="240" w:lineRule="auto"/>
              <w:ind w:firstLine="0" w:left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 Указу Главы</w:t>
            </w:r>
          </w:p>
          <w:p w14:paraId="5B000000">
            <w:pPr>
              <w:spacing w:after="0" w:line="240" w:lineRule="auto"/>
              <w:ind w:firstLine="0" w:left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Республики Саха (Якутия)</w:t>
            </w:r>
          </w:p>
          <w:p w14:paraId="5C000000">
            <w:pPr>
              <w:spacing w:after="0" w:line="240" w:lineRule="auto"/>
              <w:ind w:firstLine="0" w:left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от __________________ 20___ г. №____</w:t>
            </w:r>
          </w:p>
          <w:p w14:paraId="5D000000">
            <w:pPr>
              <w:spacing w:after="0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5E000000">
      <w:pPr>
        <w:spacing w:after="0" w:line="240" w:lineRule="auto"/>
        <w:ind w:firstLine="8364" w:left="0"/>
        <w:jc w:val="right"/>
        <w:rPr>
          <w:rFonts w:ascii="Times New Roman" w:hAnsi="Times New Roman"/>
          <w:sz w:val="28"/>
        </w:rPr>
      </w:pPr>
    </w:p>
    <w:p w14:paraId="5F000000">
      <w:pPr>
        <w:spacing w:after="0" w:line="240" w:lineRule="auto"/>
        <w:ind w:firstLine="8364" w:left="0"/>
        <w:jc w:val="right"/>
        <w:rPr>
          <w:rFonts w:ascii="Times New Roman" w:hAnsi="Times New Roman"/>
          <w:sz w:val="28"/>
        </w:rPr>
      </w:pPr>
    </w:p>
    <w:p w14:paraId="60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61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Style w:val="Style_1_ch"/>
          <w:rFonts w:ascii="Times New Roman" w:hAnsi="Times New Roman"/>
          <w:b w:val="1"/>
          <w:sz w:val="28"/>
        </w:rPr>
        <w:t xml:space="preserve">Детализированный перечень </w:t>
      </w:r>
      <w:r>
        <w:rPr>
          <w:rStyle w:val="Style_1_ch"/>
          <w:rFonts w:ascii="Times New Roman" w:hAnsi="Times New Roman"/>
          <w:b w:val="1"/>
          <w:sz w:val="28"/>
        </w:rPr>
        <w:t>и</w:t>
      </w:r>
      <w:r>
        <w:rPr>
          <w:rStyle w:val="Style_1_ch"/>
          <w:rFonts w:ascii="Times New Roman" w:hAnsi="Times New Roman"/>
          <w:b w:val="1"/>
          <w:sz w:val="28"/>
        </w:rPr>
        <w:t>нфраструктурн</w:t>
      </w:r>
      <w:r>
        <w:rPr>
          <w:rStyle w:val="Style_1_ch"/>
          <w:rFonts w:ascii="Times New Roman" w:hAnsi="Times New Roman"/>
          <w:b w:val="1"/>
          <w:sz w:val="28"/>
        </w:rPr>
        <w:t>ого</w:t>
      </w:r>
      <w:r>
        <w:rPr>
          <w:rStyle w:val="Style_1_ch"/>
          <w:rFonts w:ascii="Times New Roman" w:hAnsi="Times New Roman"/>
          <w:b w:val="1"/>
          <w:sz w:val="28"/>
        </w:rPr>
        <w:t xml:space="preserve"> проект</w:t>
      </w:r>
      <w:r>
        <w:rPr>
          <w:rStyle w:val="Style_1_ch"/>
          <w:rFonts w:ascii="Times New Roman" w:hAnsi="Times New Roman"/>
          <w:b w:val="1"/>
          <w:sz w:val="28"/>
        </w:rPr>
        <w:t>а</w:t>
      </w:r>
      <w:r>
        <w:rPr>
          <w:rStyle w:val="Style_1_ch"/>
          <w:rFonts w:ascii="Times New Roman" w:hAnsi="Times New Roman"/>
          <w:b w:val="1"/>
          <w:sz w:val="28"/>
        </w:rPr>
        <w:br/>
      </w:r>
      <w:r>
        <w:rPr>
          <w:rStyle w:val="Style_1_ch"/>
          <w:rFonts w:ascii="Times New Roman" w:hAnsi="Times New Roman"/>
          <w:b w:val="1"/>
          <w:sz w:val="28"/>
        </w:rPr>
        <w:t>реализуем</w:t>
      </w:r>
      <w:r>
        <w:rPr>
          <w:rStyle w:val="Style_1_ch"/>
          <w:rFonts w:ascii="Times New Roman" w:hAnsi="Times New Roman"/>
          <w:b w:val="1"/>
          <w:sz w:val="28"/>
        </w:rPr>
        <w:t>ого</w:t>
      </w:r>
      <w:r>
        <w:rPr>
          <w:rStyle w:val="Style_1_ch"/>
          <w:rFonts w:ascii="Times New Roman" w:hAnsi="Times New Roman"/>
          <w:b w:val="1"/>
          <w:sz w:val="28"/>
        </w:rPr>
        <w:t xml:space="preserve"> в рамках одобренного президиумом (штабом) Правительственной комиссии по региональному развитию в Российской Федерации мероприятия в соответствии с постановлением Правительства Российской Федерации </w:t>
      </w:r>
    </w:p>
    <w:p w14:paraId="62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Style w:val="Style_1_ch"/>
          <w:rFonts w:ascii="Times New Roman" w:hAnsi="Times New Roman"/>
          <w:b w:val="1"/>
          <w:sz w:val="28"/>
        </w:rPr>
        <w:t>от 31 марта 2023 г. № 525</w:t>
      </w:r>
    </w:p>
    <w:p w14:paraId="63000000">
      <w:pPr>
        <w:rPr>
          <w:rFonts w:ascii="Times New Roman" w:hAnsi="Times New Roman"/>
          <w:b w:val="1"/>
          <w:color w:val="26282F"/>
          <w:sz w:val="28"/>
        </w:rPr>
      </w:pPr>
    </w:p>
    <w:p w14:paraId="64000000">
      <w:pPr>
        <w:ind/>
        <w:jc w:val="center"/>
        <w:rPr>
          <w:sz w:val="28"/>
        </w:rPr>
      </w:pPr>
      <w:r>
        <w:rPr>
          <w:rFonts w:ascii="Times New Roman" w:hAnsi="Times New Roman"/>
          <w:color w:val="26282F"/>
          <w:sz w:val="28"/>
        </w:rPr>
        <w:t xml:space="preserve">Объект: </w:t>
      </w:r>
      <w:r>
        <w:rPr>
          <w:rFonts w:ascii="Times New Roman" w:hAnsi="Times New Roman"/>
          <w:sz w:val="28"/>
        </w:rPr>
        <w:t>«Проектирование и с</w:t>
      </w:r>
      <w:r>
        <w:rPr>
          <w:rFonts w:ascii="Times New Roman" w:hAnsi="Times New Roman"/>
          <w:sz w:val="28"/>
        </w:rPr>
        <w:t xml:space="preserve">троительство новой котельной на щепе с тепловыми сетями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с. </w:t>
      </w:r>
      <w:r>
        <w:rPr>
          <w:rFonts w:ascii="Times New Roman" w:hAnsi="Times New Roman"/>
          <w:sz w:val="28"/>
        </w:rPr>
        <w:t>Кустур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Эвено-Бытантайского</w:t>
      </w:r>
      <w:r>
        <w:rPr>
          <w:rFonts w:ascii="Times New Roman" w:hAnsi="Times New Roman"/>
          <w:sz w:val="28"/>
        </w:rPr>
        <w:t xml:space="preserve"> улуса»</w:t>
      </w:r>
    </w:p>
    <w:tbl>
      <w:tblPr>
        <w:tblStyle w:val="Style_2"/>
        <w:tblW w:type="auto" w:w="0"/>
        <w:tblInd w:type="dxa" w:w="25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992"/>
        <w:gridCol w:w="8978"/>
      </w:tblGrid>
      <w:tr>
        <w:trPr>
          <w:trHeight w:hRule="atLeast" w:val="902"/>
        </w:trPr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5000000">
            <w:pPr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</w:t>
            </w:r>
          </w:p>
        </w:tc>
        <w:tc>
          <w:tcPr>
            <w:tcW w:type="dxa" w:w="89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66000000">
            <w:pPr>
              <w:ind/>
              <w:jc w:val="center"/>
              <w:rPr>
                <w:rFonts w:ascii="Times New Roman" w:hAnsi="Times New Roman"/>
                <w:sz w:val="28"/>
              </w:rPr>
            </w:pPr>
          </w:p>
          <w:p w14:paraId="67000000">
            <w:pPr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Состав (перечень) инфраструктурного проекта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  <w:p w14:paraId="68000000">
            <w:pPr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9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type="dxa" w:w="89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A000000">
            <w:pPr>
              <w:widowControl w:val="0"/>
              <w:spacing w:after="0" w:line="276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Проектные работы (в </w:t>
            </w:r>
            <w:r>
              <w:rPr>
                <w:rFonts w:ascii="Times New Roman" w:hAnsi="Times New Roman"/>
                <w:sz w:val="28"/>
              </w:rPr>
              <w:t>т.ч</w:t>
            </w:r>
            <w:r>
              <w:rPr>
                <w:rFonts w:ascii="Times New Roman" w:hAnsi="Times New Roman"/>
                <w:sz w:val="28"/>
              </w:rPr>
              <w:t>. инженерные изыскания)</w:t>
            </w:r>
            <w:r>
              <w:rPr>
                <w:rFonts w:ascii="Times New Roman" w:hAnsi="Times New Roman"/>
                <w:sz w:val="28"/>
              </w:rPr>
              <w:t>, государственная экспертиза проектной и сметной документации.</w:t>
            </w:r>
          </w:p>
        </w:tc>
      </w:tr>
      <w:tr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2.</w:t>
            </w:r>
          </w:p>
        </w:tc>
        <w:tc>
          <w:tcPr>
            <w:tcW w:type="dxa" w:w="89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00000">
            <w:pPr>
              <w:widowControl w:val="0"/>
              <w:spacing w:after="0" w:line="240" w:lineRule="auto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Котельная</w:t>
            </w:r>
            <w:r>
              <w:rPr>
                <w:rFonts w:ascii="Times New Roman" w:hAnsi="Times New Roman"/>
                <w:sz w:val="28"/>
              </w:rPr>
              <w:t xml:space="preserve">, вспомогательные сооружения, </w:t>
            </w:r>
            <w:r>
              <w:rPr>
                <w:rFonts w:ascii="Times New Roman" w:hAnsi="Times New Roman"/>
                <w:sz w:val="28"/>
              </w:rPr>
              <w:t>тепловые сети</w:t>
            </w:r>
            <w:r>
              <w:rPr>
                <w:rFonts w:ascii="Times New Roman" w:hAnsi="Times New Roman"/>
                <w:sz w:val="28"/>
              </w:rPr>
              <w:t>, спецтехника</w:t>
            </w:r>
            <w:r>
              <w:rPr>
                <w:rFonts w:ascii="Times New Roman" w:hAnsi="Times New Roman"/>
                <w:sz w:val="28"/>
              </w:rPr>
              <w:t xml:space="preserve"> для выработки тепловой энергии</w:t>
            </w:r>
          </w:p>
        </w:tc>
      </w:tr>
      <w:tr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D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2.1</w:t>
            </w:r>
          </w:p>
        </w:tc>
        <w:tc>
          <w:tcPr>
            <w:tcW w:type="dxa" w:w="89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E000000">
            <w:pPr>
              <w:widowControl w:val="0"/>
              <w:spacing w:after="0" w:line="276" w:lineRule="auto"/>
              <w:ind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Здание котельной с линией подготовки щепы, навес</w:t>
            </w:r>
          </w:p>
        </w:tc>
      </w:tr>
      <w:tr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2.2</w:t>
            </w:r>
          </w:p>
        </w:tc>
        <w:tc>
          <w:tcPr>
            <w:tcW w:type="dxa" w:w="89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00000">
            <w:pPr>
              <w:widowControl w:val="0"/>
              <w:spacing w:after="0" w:line="276" w:lineRule="auto"/>
              <w:ind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Насосная станция с пожарным резервуаром 2х100 и 200м3</w:t>
            </w:r>
          </w:p>
        </w:tc>
      </w:tr>
      <w:tr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2.3</w:t>
            </w:r>
          </w:p>
        </w:tc>
        <w:tc>
          <w:tcPr>
            <w:tcW w:type="dxa" w:w="89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00000">
            <w:pPr>
              <w:widowControl w:val="0"/>
              <w:spacing w:after="0" w:line="276" w:lineRule="auto"/>
              <w:ind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Резервный источник питания (ДЭС)</w:t>
            </w:r>
          </w:p>
        </w:tc>
      </w:tr>
      <w:tr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2.4</w:t>
            </w:r>
          </w:p>
        </w:tc>
        <w:tc>
          <w:tcPr>
            <w:tcW w:type="dxa" w:w="89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00000">
            <w:pPr>
              <w:widowControl w:val="0"/>
              <w:spacing w:after="0" w:line="276" w:lineRule="auto"/>
              <w:ind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 xml:space="preserve">Канализационный сборник </w:t>
            </w:r>
            <w:r>
              <w:rPr>
                <w:rFonts w:ascii="Times New Roman" w:hAnsi="Times New Roman"/>
                <w:i w:val="0"/>
                <w:sz w:val="28"/>
              </w:rPr>
              <w:t>V</w:t>
            </w:r>
            <w:r>
              <w:rPr>
                <w:rFonts w:ascii="Times New Roman" w:hAnsi="Times New Roman"/>
                <w:i w:val="0"/>
                <w:sz w:val="28"/>
              </w:rPr>
              <w:t>=9 куб. м</w:t>
            </w:r>
          </w:p>
        </w:tc>
      </w:tr>
      <w:tr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2.5</w:t>
            </w:r>
          </w:p>
        </w:tc>
        <w:tc>
          <w:tcPr>
            <w:tcW w:type="dxa" w:w="89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00000">
            <w:pPr>
              <w:widowControl w:val="0"/>
              <w:spacing w:after="0" w:line="276" w:lineRule="auto"/>
              <w:ind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Склад хранения топлива (открытый)</w:t>
            </w:r>
          </w:p>
        </w:tc>
      </w:tr>
      <w:tr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2.6</w:t>
            </w:r>
          </w:p>
        </w:tc>
        <w:tc>
          <w:tcPr>
            <w:tcW w:type="dxa" w:w="89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00000">
            <w:pPr>
              <w:widowControl w:val="0"/>
              <w:spacing w:after="0" w:line="276" w:lineRule="auto"/>
              <w:ind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Площадка золы (открытая)</w:t>
            </w:r>
          </w:p>
        </w:tc>
      </w:tr>
      <w:tr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2.7</w:t>
            </w:r>
          </w:p>
        </w:tc>
        <w:tc>
          <w:tcPr>
            <w:tcW w:type="dxa" w:w="89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00000">
            <w:pPr>
              <w:widowControl w:val="0"/>
              <w:spacing w:after="0" w:line="276" w:lineRule="auto"/>
              <w:ind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 xml:space="preserve">Продувочный колодец </w:t>
            </w:r>
            <w:r>
              <w:rPr>
                <w:rFonts w:ascii="Times New Roman" w:hAnsi="Times New Roman"/>
                <w:i w:val="0"/>
                <w:sz w:val="28"/>
              </w:rPr>
              <w:t>V</w:t>
            </w:r>
            <w:r>
              <w:rPr>
                <w:rFonts w:ascii="Times New Roman" w:hAnsi="Times New Roman"/>
                <w:i w:val="0"/>
                <w:sz w:val="28"/>
              </w:rPr>
              <w:t>=4 м3</w:t>
            </w:r>
          </w:p>
        </w:tc>
      </w:tr>
      <w:tr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2.8</w:t>
            </w:r>
          </w:p>
        </w:tc>
        <w:tc>
          <w:tcPr>
            <w:tcW w:type="dxa" w:w="89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00000">
            <w:pPr>
              <w:widowControl w:val="0"/>
              <w:spacing w:after="0" w:line="276" w:lineRule="auto"/>
              <w:ind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 xml:space="preserve">Дренажный колодец </w:t>
            </w:r>
            <w:r>
              <w:rPr>
                <w:rFonts w:ascii="Times New Roman" w:hAnsi="Times New Roman"/>
                <w:i w:val="0"/>
                <w:sz w:val="28"/>
              </w:rPr>
              <w:t>V</w:t>
            </w:r>
            <w:r>
              <w:rPr>
                <w:rFonts w:ascii="Times New Roman" w:hAnsi="Times New Roman"/>
                <w:i w:val="0"/>
                <w:sz w:val="28"/>
              </w:rPr>
              <w:t>=5 м3</w:t>
            </w:r>
          </w:p>
        </w:tc>
      </w:tr>
      <w:tr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2.9</w:t>
            </w:r>
          </w:p>
        </w:tc>
        <w:tc>
          <w:tcPr>
            <w:tcW w:type="dxa" w:w="89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00000">
            <w:pPr>
              <w:widowControl w:val="0"/>
              <w:spacing w:after="0" w:line="276" w:lineRule="auto"/>
              <w:ind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Внутриплощадочные тепловые сети</w:t>
            </w:r>
          </w:p>
        </w:tc>
      </w:tr>
      <w:tr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2.10</w:t>
            </w:r>
          </w:p>
        </w:tc>
        <w:tc>
          <w:tcPr>
            <w:tcW w:type="dxa" w:w="89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00000">
            <w:pPr>
              <w:widowControl w:val="0"/>
              <w:spacing w:after="0" w:line="276" w:lineRule="auto"/>
              <w:ind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Внеплощадочные тепловые сети</w:t>
            </w:r>
          </w:p>
        </w:tc>
      </w:tr>
      <w:tr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2.11</w:t>
            </w:r>
          </w:p>
        </w:tc>
        <w:tc>
          <w:tcPr>
            <w:tcW w:type="dxa" w:w="89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00000">
            <w:pPr>
              <w:widowControl w:val="0"/>
              <w:spacing w:after="0" w:line="276" w:lineRule="auto"/>
              <w:ind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Спецтехника</w:t>
            </w:r>
          </w:p>
        </w:tc>
      </w:tr>
      <w:tr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00000">
            <w:pPr>
              <w:widowControl w:val="0"/>
              <w:spacing w:after="0" w:line="276" w:lineRule="auto"/>
              <w:ind/>
              <w:jc w:val="center"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3.</w:t>
            </w:r>
          </w:p>
        </w:tc>
        <w:tc>
          <w:tcPr>
            <w:tcW w:type="dxa" w:w="89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00000">
            <w:pPr>
              <w:widowControl w:val="0"/>
              <w:spacing w:after="0" w:line="276" w:lineRule="auto"/>
              <w:ind/>
              <w:rPr>
                <w:rFonts w:ascii="Times New Roman" w:hAnsi="Times New Roman"/>
                <w:i w:val="0"/>
                <w:sz w:val="28"/>
              </w:rPr>
            </w:pPr>
            <w:r>
              <w:rPr>
                <w:rFonts w:ascii="Times New Roman" w:hAnsi="Times New Roman"/>
                <w:i w:val="0"/>
                <w:sz w:val="28"/>
              </w:rPr>
              <w:t>Строительный контроль</w:t>
            </w:r>
          </w:p>
        </w:tc>
      </w:tr>
    </w:tbl>
    <w:p w14:paraId="85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</w:t>
      </w:r>
    </w:p>
    <w:p w14:paraId="86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87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sectPr>
      <w:type w:val="nextPage"/>
      <w:pgSz w:h="16848" w:orient="portrait" w:w="11908"/>
      <w:pgMar w:bottom="737" w:footer="0" w:gutter="0" w:header="0" w:left="964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after="160" w:line="264" w:lineRule="auto"/>
      <w:ind/>
    </w:pPr>
  </w:style>
  <w:style w:default="1" w:styleId="Style_1_ch" w:type="character">
    <w:name w:val="Normal"/>
    <w:link w:val="Style_1"/>
  </w:style>
  <w:style w:styleId="Style_3" w:type="paragraph">
    <w:name w:val="toc 2"/>
    <w:next w:val="Style_1"/>
    <w:link w:val="Style_3_ch"/>
    <w:uiPriority w:val="39"/>
    <w:pPr>
      <w:spacing w:after="160" w:line="264" w:lineRule="auto"/>
      <w:ind w:firstLine="0" w:left="200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Оглавление 9 Знак"/>
    <w:link w:val="Style_4_ch"/>
    <w:rPr>
      <w:rFonts w:ascii="XO Thames" w:hAnsi="XO Thames"/>
      <w:sz w:val="28"/>
    </w:rPr>
  </w:style>
  <w:style w:styleId="Style_4_ch" w:type="character">
    <w:name w:val="Оглавление 9 Знак"/>
    <w:link w:val="Style_4"/>
    <w:rPr>
      <w:rFonts w:ascii="XO Thames" w:hAnsi="XO Thames"/>
      <w:sz w:val="28"/>
    </w:rPr>
  </w:style>
  <w:style w:styleId="Style_5" w:type="paragraph">
    <w:name w:val="Оглавление 2 Знак"/>
    <w:link w:val="Style_5_ch"/>
    <w:rPr>
      <w:rFonts w:ascii="XO Thames" w:hAnsi="XO Thames"/>
      <w:sz w:val="28"/>
    </w:rPr>
  </w:style>
  <w:style w:styleId="Style_5_ch" w:type="character">
    <w:name w:val="Оглавление 2 Знак"/>
    <w:link w:val="Style_5"/>
    <w:rPr>
      <w:rFonts w:ascii="XO Thames" w:hAnsi="XO Thames"/>
      <w:sz w:val="28"/>
    </w:rPr>
  </w:style>
  <w:style w:styleId="Style_6" w:type="paragraph">
    <w:name w:val="toc 4"/>
    <w:next w:val="Style_1"/>
    <w:link w:val="Style_6_ch"/>
    <w:uiPriority w:val="39"/>
    <w:pPr>
      <w:spacing w:after="160" w:line="264" w:lineRule="auto"/>
      <w:ind w:firstLine="0" w:left="600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1"/>
    <w:link w:val="Style_7_ch"/>
    <w:uiPriority w:val="39"/>
    <w:pPr>
      <w:spacing w:after="160" w:line="264" w:lineRule="auto"/>
      <w:ind w:firstLine="0" w:left="1000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1"/>
    <w:link w:val="Style_8_ch"/>
    <w:uiPriority w:val="39"/>
    <w:pPr>
      <w:spacing w:after="160" w:line="264" w:lineRule="auto"/>
      <w:ind w:firstLine="0" w:left="1200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Заголовок 4 Знак"/>
    <w:link w:val="Style_9_ch"/>
    <w:rPr>
      <w:rFonts w:ascii="XO Thames" w:hAnsi="XO Thames"/>
      <w:b w:val="1"/>
      <w:sz w:val="24"/>
    </w:rPr>
  </w:style>
  <w:style w:styleId="Style_9_ch" w:type="character">
    <w:name w:val="Заголовок 4 Знак"/>
    <w:link w:val="Style_9"/>
    <w:rPr>
      <w:rFonts w:ascii="XO Thames" w:hAnsi="XO Thames"/>
      <w:b w:val="1"/>
      <w:sz w:val="24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</w:rPr>
  </w:style>
  <w:style w:styleId="Style_10_ch" w:type="character">
    <w:name w:val="Endnote"/>
    <w:link w:val="Style_10"/>
    <w:rPr>
      <w:rFonts w:ascii="XO Thames" w:hAnsi="XO Thames"/>
    </w:rPr>
  </w:style>
  <w:style w:styleId="Style_11" w:type="paragraph">
    <w:name w:val="heading 3"/>
    <w:next w:val="Style_1"/>
    <w:link w:val="Style_11_ch"/>
    <w:uiPriority w:val="9"/>
    <w:qFormat/>
    <w:pPr>
      <w:spacing w:after="120" w:before="120" w:line="264" w:lineRule="auto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Оглавление 3 Знак"/>
    <w:link w:val="Style_12_ch"/>
    <w:rPr>
      <w:rFonts w:ascii="XO Thames" w:hAnsi="XO Thames"/>
      <w:sz w:val="28"/>
    </w:rPr>
  </w:style>
  <w:style w:styleId="Style_12_ch" w:type="character">
    <w:name w:val="Оглавление 3 Знак"/>
    <w:link w:val="Style_12"/>
    <w:rPr>
      <w:rFonts w:ascii="XO Thames" w:hAnsi="XO Thames"/>
      <w:sz w:val="28"/>
    </w:rPr>
  </w:style>
  <w:style w:styleId="Style_13" w:type="paragraph">
    <w:name w:val="Body Text"/>
    <w:basedOn w:val="Style_1"/>
    <w:link w:val="Style_13_ch"/>
    <w:pPr>
      <w:spacing w:after="140" w:line="276" w:lineRule="auto"/>
      <w:ind/>
    </w:pPr>
  </w:style>
  <w:style w:styleId="Style_13_ch" w:type="character">
    <w:name w:val="Body Text"/>
    <w:basedOn w:val="Style_1_ch"/>
    <w:link w:val="Style_13"/>
  </w:style>
  <w:style w:styleId="Style_14" w:type="paragraph">
    <w:name w:val="Обычный1"/>
    <w:link w:val="Style_14_ch"/>
    <w:rPr>
      <w:rFonts w:asciiTheme="minorAscii" w:hAnsiTheme="minorHAnsi"/>
      <w:color w:val="000000"/>
      <w:sz w:val="22"/>
    </w:rPr>
  </w:style>
  <w:style w:styleId="Style_14_ch" w:type="character">
    <w:name w:val="Обычный1"/>
    <w:link w:val="Style_14"/>
    <w:rPr>
      <w:rFonts w:asciiTheme="minorAscii" w:hAnsiTheme="minorHAnsi"/>
      <w:color w:val="000000"/>
      <w:sz w:val="22"/>
    </w:rPr>
  </w:style>
  <w:style w:styleId="Style_15" w:type="paragraph">
    <w:name w:val="Заголовок"/>
    <w:basedOn w:val="Style_1"/>
    <w:next w:val="Style_13"/>
    <w:link w:val="Style_15_ch"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15_ch" w:type="character">
    <w:name w:val="Заголовок"/>
    <w:basedOn w:val="Style_1_ch"/>
    <w:link w:val="Style_15"/>
    <w:rPr>
      <w:rFonts w:ascii="PT Astra Serif" w:hAnsi="PT Astra Serif"/>
      <w:sz w:val="28"/>
    </w:rPr>
  </w:style>
  <w:style w:styleId="Style_16" w:type="paragraph">
    <w:name w:val="Подзаголовок Знак"/>
    <w:link w:val="Style_16_ch"/>
    <w:rPr>
      <w:rFonts w:ascii="XO Thames" w:hAnsi="XO Thames"/>
      <w:i w:val="1"/>
      <w:sz w:val="24"/>
    </w:rPr>
  </w:style>
  <w:style w:styleId="Style_16_ch" w:type="character">
    <w:name w:val="Подзаголовок Знак"/>
    <w:link w:val="Style_16"/>
    <w:rPr>
      <w:rFonts w:ascii="XO Thames" w:hAnsi="XO Thames"/>
      <w:i w:val="1"/>
      <w:sz w:val="24"/>
    </w:rPr>
  </w:style>
  <w:style w:styleId="Style_17" w:type="paragraph">
    <w:name w:val="Оглавление 8 Знак"/>
    <w:link w:val="Style_17_ch"/>
    <w:rPr>
      <w:rFonts w:ascii="XO Thames" w:hAnsi="XO Thames"/>
      <w:sz w:val="28"/>
    </w:rPr>
  </w:style>
  <w:style w:styleId="Style_17_ch" w:type="character">
    <w:name w:val="Оглавление 8 Знак"/>
    <w:link w:val="Style_17"/>
    <w:rPr>
      <w:rFonts w:ascii="XO Thames" w:hAnsi="XO Thames"/>
      <w:sz w:val="28"/>
    </w:rPr>
  </w:style>
  <w:style w:styleId="Style_18" w:type="paragraph">
    <w:name w:val="Обычный1"/>
    <w:link w:val="Style_18_ch"/>
  </w:style>
  <w:style w:styleId="Style_18_ch" w:type="character">
    <w:name w:val="Обычный1"/>
    <w:link w:val="Style_18"/>
  </w:style>
  <w:style w:styleId="Style_19" w:type="paragraph">
    <w:name w:val="Заголовок 2 Знак"/>
    <w:link w:val="Style_19_ch"/>
    <w:rPr>
      <w:rFonts w:ascii="XO Thames" w:hAnsi="XO Thames"/>
      <w:b w:val="1"/>
      <w:sz w:val="28"/>
    </w:rPr>
  </w:style>
  <w:style w:styleId="Style_19_ch" w:type="character">
    <w:name w:val="Заголовок 2 Знак"/>
    <w:link w:val="Style_19"/>
    <w:rPr>
      <w:rFonts w:ascii="XO Thames" w:hAnsi="XO Thames"/>
      <w:b w:val="1"/>
      <w:sz w:val="28"/>
    </w:rPr>
  </w:style>
  <w:style w:styleId="Style_20" w:type="paragraph">
    <w:name w:val="Основной шрифт абзаца1"/>
    <w:link w:val="Style_20_ch"/>
  </w:style>
  <w:style w:styleId="Style_20_ch" w:type="character">
    <w:name w:val="Основной шрифт абзаца1"/>
    <w:link w:val="Style_20"/>
  </w:style>
  <w:style w:styleId="Style_21" w:type="paragraph">
    <w:name w:val="Колонтитул"/>
    <w:link w:val="Style_21_ch"/>
    <w:pPr>
      <w:spacing w:after="160"/>
      <w:ind/>
      <w:jc w:val="both"/>
    </w:pPr>
    <w:rPr>
      <w:rFonts w:ascii="XO Thames" w:hAnsi="XO Thames"/>
      <w:sz w:val="20"/>
    </w:rPr>
  </w:style>
  <w:style w:styleId="Style_21_ch" w:type="character">
    <w:name w:val="Колонтитул"/>
    <w:link w:val="Style_21"/>
    <w:rPr>
      <w:rFonts w:ascii="XO Thames" w:hAnsi="XO Thames"/>
      <w:sz w:val="20"/>
    </w:rPr>
  </w:style>
  <w:style w:styleId="Style_22" w:type="paragraph">
    <w:name w:val="Default Paragraph Font"/>
    <w:link w:val="Style_22_ch"/>
  </w:style>
  <w:style w:styleId="Style_22_ch" w:type="character">
    <w:name w:val="Default Paragraph Font"/>
    <w:link w:val="Style_22"/>
  </w:style>
  <w:style w:styleId="Style_23" w:type="paragraph">
    <w:name w:val="Заголовок 3 Знак"/>
    <w:link w:val="Style_23_ch"/>
    <w:rPr>
      <w:rFonts w:ascii="XO Thames" w:hAnsi="XO Thames"/>
      <w:b w:val="1"/>
      <w:sz w:val="26"/>
    </w:rPr>
  </w:style>
  <w:style w:styleId="Style_23_ch" w:type="character">
    <w:name w:val="Заголовок 3 Знак"/>
    <w:link w:val="Style_23"/>
    <w:rPr>
      <w:rFonts w:ascii="XO Thames" w:hAnsi="XO Thames"/>
      <w:b w:val="1"/>
      <w:sz w:val="26"/>
    </w:rPr>
  </w:style>
  <w:style w:styleId="Style_24" w:type="paragraph">
    <w:name w:val="Гиперссылка1"/>
    <w:link w:val="Style_24_ch"/>
    <w:rPr>
      <w:color w:val="0000FF"/>
      <w:u w:val="single"/>
    </w:rPr>
  </w:style>
  <w:style w:styleId="Style_24_ch" w:type="character">
    <w:name w:val="Гиперссылка1"/>
    <w:link w:val="Style_24"/>
    <w:rPr>
      <w:color w:val="0000FF"/>
      <w:u w:val="single"/>
    </w:rPr>
  </w:style>
  <w:style w:styleId="Style_25" w:type="paragraph">
    <w:name w:val="toc 3"/>
    <w:next w:val="Style_1"/>
    <w:link w:val="Style_25_ch"/>
    <w:uiPriority w:val="39"/>
    <w:pPr>
      <w:spacing w:after="160" w:line="264" w:lineRule="auto"/>
      <w:ind w:firstLine="0" w:left="400"/>
    </w:pPr>
    <w:rPr>
      <w:rFonts w:ascii="XO Thames" w:hAnsi="XO Thames"/>
      <w:sz w:val="28"/>
    </w:rPr>
  </w:style>
  <w:style w:styleId="Style_25_ch" w:type="character">
    <w:name w:val="toc 3"/>
    <w:link w:val="Style_25"/>
    <w:rPr>
      <w:rFonts w:ascii="XO Thames" w:hAnsi="XO Thames"/>
      <w:sz w:val="28"/>
    </w:rPr>
  </w:style>
  <w:style w:styleId="Style_26" w:type="paragraph">
    <w:name w:val="Заголовок Знак"/>
    <w:link w:val="Style_26_ch"/>
    <w:rPr>
      <w:rFonts w:ascii="XO Thames" w:hAnsi="XO Thames"/>
      <w:b w:val="1"/>
      <w:caps w:val="1"/>
      <w:sz w:val="40"/>
    </w:rPr>
  </w:style>
  <w:style w:styleId="Style_26_ch" w:type="character">
    <w:name w:val="Заголовок Знак"/>
    <w:link w:val="Style_26"/>
    <w:rPr>
      <w:rFonts w:ascii="XO Thames" w:hAnsi="XO Thames"/>
      <w:b w:val="1"/>
      <w:caps w:val="1"/>
      <w:sz w:val="40"/>
    </w:rPr>
  </w:style>
  <w:style w:styleId="Style_27" w:type="paragraph">
    <w:name w:val="caption"/>
    <w:basedOn w:val="Style_1"/>
    <w:link w:val="Style_27_ch"/>
    <w:pPr>
      <w:spacing w:after="120" w:before="120"/>
      <w:ind/>
    </w:pPr>
    <w:rPr>
      <w:rFonts w:ascii="PT Astra Serif" w:hAnsi="PT Astra Serif"/>
      <w:i w:val="1"/>
      <w:sz w:val="24"/>
    </w:rPr>
  </w:style>
  <w:style w:styleId="Style_27_ch" w:type="character">
    <w:name w:val="caption"/>
    <w:basedOn w:val="Style_1_ch"/>
    <w:link w:val="Style_27"/>
    <w:rPr>
      <w:rFonts w:ascii="PT Astra Serif" w:hAnsi="PT Astra Serif"/>
      <w:i w:val="1"/>
      <w:sz w:val="24"/>
    </w:rPr>
  </w:style>
  <w:style w:styleId="Style_28" w:type="paragraph">
    <w:name w:val="Оглавление 6 Знак"/>
    <w:link w:val="Style_28_ch"/>
    <w:rPr>
      <w:rFonts w:ascii="XO Thames" w:hAnsi="XO Thames"/>
      <w:sz w:val="28"/>
    </w:rPr>
  </w:style>
  <w:style w:styleId="Style_28_ch" w:type="character">
    <w:name w:val="Оглавление 6 Знак"/>
    <w:link w:val="Style_28"/>
    <w:rPr>
      <w:rFonts w:ascii="XO Thames" w:hAnsi="XO Thames"/>
      <w:sz w:val="28"/>
    </w:rPr>
  </w:style>
  <w:style w:styleId="Style_29" w:type="paragraph">
    <w:name w:val="index heading"/>
    <w:basedOn w:val="Style_1"/>
    <w:link w:val="Style_29_ch"/>
    <w:rPr>
      <w:rFonts w:ascii="PT Astra Serif" w:hAnsi="PT Astra Serif"/>
    </w:rPr>
  </w:style>
  <w:style w:styleId="Style_29_ch" w:type="character">
    <w:name w:val="index heading"/>
    <w:basedOn w:val="Style_1_ch"/>
    <w:link w:val="Style_29"/>
    <w:rPr>
      <w:rFonts w:ascii="PT Astra Serif" w:hAnsi="PT Astra Serif"/>
    </w:rPr>
  </w:style>
  <w:style w:styleId="Style_30" w:type="paragraph">
    <w:name w:val="Оглавление 7 Знак"/>
    <w:link w:val="Style_30_ch"/>
    <w:rPr>
      <w:rFonts w:ascii="XO Thames" w:hAnsi="XO Thames"/>
      <w:sz w:val="28"/>
    </w:rPr>
  </w:style>
  <w:style w:styleId="Style_30_ch" w:type="character">
    <w:name w:val="Оглавление 7 Знак"/>
    <w:link w:val="Style_30"/>
    <w:rPr>
      <w:rFonts w:ascii="XO Thames" w:hAnsi="XO Thames"/>
      <w:sz w:val="28"/>
    </w:rPr>
  </w:style>
  <w:style w:styleId="Style_31" w:type="paragraph">
    <w:name w:val="heading 5"/>
    <w:next w:val="Style_1"/>
    <w:link w:val="Style_31_ch"/>
    <w:uiPriority w:val="9"/>
    <w:qFormat/>
    <w:pPr>
      <w:spacing w:after="120" w:before="120" w:line="264" w:lineRule="auto"/>
      <w:ind/>
      <w:jc w:val="both"/>
      <w:outlineLvl w:val="4"/>
    </w:pPr>
    <w:rPr>
      <w:rFonts w:ascii="XO Thames" w:hAnsi="XO Thames"/>
      <w:b w:val="1"/>
    </w:rPr>
  </w:style>
  <w:style w:styleId="Style_31_ch" w:type="character">
    <w:name w:val="heading 5"/>
    <w:link w:val="Style_31"/>
    <w:rPr>
      <w:rFonts w:ascii="XO Thames" w:hAnsi="XO Thames"/>
      <w:b w:val="1"/>
    </w:rPr>
  </w:style>
  <w:style w:styleId="Style_32" w:type="paragraph">
    <w:name w:val="Основной шрифт абзаца1"/>
    <w:link w:val="Style_32_ch"/>
    <w:pPr>
      <w:spacing w:after="160" w:line="264" w:lineRule="auto"/>
      <w:ind/>
    </w:pPr>
  </w:style>
  <w:style w:styleId="Style_32_ch" w:type="character">
    <w:name w:val="Основной шрифт абзаца1"/>
    <w:link w:val="Style_32"/>
  </w:style>
  <w:style w:styleId="Style_33" w:type="paragraph">
    <w:name w:val="heading 1"/>
    <w:next w:val="Style_1"/>
    <w:link w:val="Style_33_ch"/>
    <w:uiPriority w:val="9"/>
    <w:qFormat/>
    <w:pPr>
      <w:spacing w:after="120" w:before="120" w:line="264" w:lineRule="auto"/>
      <w:ind/>
      <w:jc w:val="both"/>
      <w:outlineLvl w:val="0"/>
    </w:pPr>
    <w:rPr>
      <w:rFonts w:ascii="XO Thames" w:hAnsi="XO Thames"/>
      <w:b w:val="1"/>
      <w:sz w:val="32"/>
    </w:rPr>
  </w:style>
  <w:style w:styleId="Style_33_ch" w:type="character">
    <w:name w:val="heading 1"/>
    <w:link w:val="Style_33"/>
    <w:rPr>
      <w:rFonts w:ascii="XO Thames" w:hAnsi="XO Thames"/>
      <w:b w:val="1"/>
      <w:sz w:val="32"/>
    </w:rPr>
  </w:style>
  <w:style w:styleId="Style_34" w:type="paragraph">
    <w:name w:val="Hyperlink"/>
    <w:link w:val="Style_34_ch"/>
    <w:rPr>
      <w:color w:val="0000FF"/>
      <w:u w:val="single"/>
    </w:rPr>
  </w:style>
  <w:style w:styleId="Style_34_ch" w:type="character">
    <w:name w:val="Hyperlink"/>
    <w:link w:val="Style_34"/>
    <w:rPr>
      <w:color w:val="0000FF"/>
      <w:u w:val="single"/>
    </w:rPr>
  </w:style>
  <w:style w:styleId="Style_35" w:type="paragraph">
    <w:name w:val="Footnote"/>
    <w:link w:val="Style_35_ch"/>
    <w:pPr>
      <w:spacing w:after="160" w:line="264" w:lineRule="auto"/>
      <w:ind w:firstLine="851" w:left="0"/>
      <w:jc w:val="both"/>
    </w:pPr>
    <w:rPr>
      <w:rFonts w:ascii="XO Thames" w:hAnsi="XO Thames"/>
    </w:rPr>
  </w:style>
  <w:style w:styleId="Style_35_ch" w:type="character">
    <w:name w:val="Footnote"/>
    <w:link w:val="Style_35"/>
    <w:rPr>
      <w:rFonts w:ascii="XO Thames" w:hAnsi="XO Thames"/>
    </w:rPr>
  </w:style>
  <w:style w:styleId="Style_36" w:type="paragraph">
    <w:name w:val="toc 1"/>
    <w:next w:val="Style_1"/>
    <w:link w:val="Style_36_ch"/>
    <w:uiPriority w:val="39"/>
    <w:pPr>
      <w:spacing w:after="160" w:line="264" w:lineRule="auto"/>
      <w:ind/>
    </w:pPr>
    <w:rPr>
      <w:rFonts w:ascii="XO Thames" w:hAnsi="XO Thames"/>
      <w:b w:val="1"/>
      <w:sz w:val="28"/>
    </w:rPr>
  </w:style>
  <w:style w:styleId="Style_36_ch" w:type="character">
    <w:name w:val="toc 1"/>
    <w:link w:val="Style_36"/>
    <w:rPr>
      <w:rFonts w:ascii="XO Thames" w:hAnsi="XO Thames"/>
      <w:b w:val="1"/>
      <w:sz w:val="28"/>
    </w:rPr>
  </w:style>
  <w:style w:styleId="Style_37" w:type="paragraph">
    <w:name w:val="Header and Footer"/>
    <w:link w:val="Style_37_ch"/>
    <w:rPr>
      <w:rFonts w:ascii="XO Thames" w:hAnsi="XO Thames"/>
      <w:sz w:val="20"/>
    </w:rPr>
  </w:style>
  <w:style w:styleId="Style_37_ch" w:type="character">
    <w:name w:val="Header and Footer"/>
    <w:link w:val="Style_37"/>
    <w:rPr>
      <w:rFonts w:ascii="XO Thames" w:hAnsi="XO Thames"/>
      <w:sz w:val="20"/>
    </w:rPr>
  </w:style>
  <w:style w:styleId="Style_38" w:type="paragraph">
    <w:name w:val="Заголовок 1 Знак"/>
    <w:link w:val="Style_38_ch"/>
    <w:rPr>
      <w:rFonts w:ascii="XO Thames" w:hAnsi="XO Thames"/>
      <w:b w:val="1"/>
      <w:sz w:val="32"/>
    </w:rPr>
  </w:style>
  <w:style w:styleId="Style_38_ch" w:type="character">
    <w:name w:val="Заголовок 1 Знак"/>
    <w:link w:val="Style_38"/>
    <w:rPr>
      <w:rFonts w:ascii="XO Thames" w:hAnsi="XO Thames"/>
      <w:b w:val="1"/>
      <w:sz w:val="32"/>
    </w:rPr>
  </w:style>
  <w:style w:styleId="Style_39" w:type="paragraph">
    <w:name w:val="Гиперссылка1"/>
    <w:link w:val="Style_39_ch"/>
    <w:pPr>
      <w:spacing w:after="160" w:line="264" w:lineRule="auto"/>
      <w:ind/>
    </w:pPr>
    <w:rPr>
      <w:rFonts w:ascii="Calibri" w:hAnsi="Calibri"/>
      <w:color w:val="0000FF"/>
      <w:u w:val="single"/>
    </w:rPr>
  </w:style>
  <w:style w:styleId="Style_39_ch" w:type="character">
    <w:name w:val="Гиперссылка1"/>
    <w:link w:val="Style_39"/>
    <w:rPr>
      <w:rFonts w:ascii="Calibri" w:hAnsi="Calibri"/>
      <w:color w:val="0000FF"/>
      <w:u w:val="single"/>
    </w:rPr>
  </w:style>
  <w:style w:styleId="Style_40" w:type="paragraph">
    <w:name w:val="toc 9"/>
    <w:next w:val="Style_1"/>
    <w:link w:val="Style_40_ch"/>
    <w:uiPriority w:val="39"/>
    <w:pPr>
      <w:spacing w:after="160" w:line="264" w:lineRule="auto"/>
      <w:ind w:firstLine="0" w:left="1600"/>
    </w:pPr>
    <w:rPr>
      <w:rFonts w:ascii="XO Thames" w:hAnsi="XO Thames"/>
      <w:sz w:val="28"/>
    </w:rPr>
  </w:style>
  <w:style w:styleId="Style_40_ch" w:type="character">
    <w:name w:val="toc 9"/>
    <w:link w:val="Style_40"/>
    <w:rPr>
      <w:rFonts w:ascii="XO Thames" w:hAnsi="XO Thames"/>
      <w:sz w:val="28"/>
    </w:rPr>
  </w:style>
  <w:style w:styleId="Style_41" w:type="paragraph">
    <w:name w:val="Balloon Text"/>
    <w:basedOn w:val="Style_1"/>
    <w:link w:val="Style_41_ch"/>
    <w:pPr>
      <w:spacing w:after="0" w:line="240" w:lineRule="auto"/>
      <w:ind/>
    </w:pPr>
    <w:rPr>
      <w:rFonts w:ascii="Tahoma" w:hAnsi="Tahoma"/>
      <w:sz w:val="16"/>
    </w:rPr>
  </w:style>
  <w:style w:styleId="Style_41_ch" w:type="character">
    <w:name w:val="Balloon Text"/>
    <w:basedOn w:val="Style_1_ch"/>
    <w:link w:val="Style_41"/>
    <w:rPr>
      <w:rFonts w:ascii="Tahoma" w:hAnsi="Tahoma"/>
      <w:sz w:val="16"/>
    </w:rPr>
  </w:style>
  <w:style w:styleId="Style_42" w:type="paragraph">
    <w:name w:val="toc 8"/>
    <w:next w:val="Style_1"/>
    <w:link w:val="Style_42_ch"/>
    <w:uiPriority w:val="39"/>
    <w:pPr>
      <w:spacing w:after="160" w:line="264" w:lineRule="auto"/>
      <w:ind w:firstLine="0" w:left="1400"/>
    </w:pPr>
    <w:rPr>
      <w:rFonts w:ascii="XO Thames" w:hAnsi="XO Thames"/>
      <w:sz w:val="28"/>
    </w:rPr>
  </w:style>
  <w:style w:styleId="Style_42_ch" w:type="character">
    <w:name w:val="toc 8"/>
    <w:link w:val="Style_42"/>
    <w:rPr>
      <w:rFonts w:ascii="XO Thames" w:hAnsi="XO Thames"/>
      <w:sz w:val="28"/>
    </w:rPr>
  </w:style>
  <w:style w:styleId="Style_43" w:type="paragraph">
    <w:name w:val="Оглавление 5 Знак"/>
    <w:link w:val="Style_43_ch"/>
    <w:rPr>
      <w:rFonts w:ascii="XO Thames" w:hAnsi="XO Thames"/>
      <w:sz w:val="28"/>
    </w:rPr>
  </w:style>
  <w:style w:styleId="Style_43_ch" w:type="character">
    <w:name w:val="Оглавление 5 Знак"/>
    <w:link w:val="Style_43"/>
    <w:rPr>
      <w:rFonts w:ascii="XO Thames" w:hAnsi="XO Thames"/>
      <w:sz w:val="28"/>
    </w:rPr>
  </w:style>
  <w:style w:styleId="Style_44" w:type="paragraph">
    <w:name w:val="Оглавление 4 Знак"/>
    <w:link w:val="Style_44_ch"/>
    <w:rPr>
      <w:rFonts w:ascii="XO Thames" w:hAnsi="XO Thames"/>
      <w:sz w:val="28"/>
    </w:rPr>
  </w:style>
  <w:style w:styleId="Style_44_ch" w:type="character">
    <w:name w:val="Оглавление 4 Знак"/>
    <w:link w:val="Style_44"/>
    <w:rPr>
      <w:rFonts w:ascii="XO Thames" w:hAnsi="XO Thames"/>
      <w:sz w:val="28"/>
    </w:rPr>
  </w:style>
  <w:style w:styleId="Style_45" w:type="paragraph">
    <w:name w:val="toc 5"/>
    <w:next w:val="Style_1"/>
    <w:link w:val="Style_45_ch"/>
    <w:uiPriority w:val="39"/>
    <w:pPr>
      <w:spacing w:after="160" w:line="264" w:lineRule="auto"/>
      <w:ind w:firstLine="0" w:left="800"/>
    </w:pPr>
    <w:rPr>
      <w:rFonts w:ascii="XO Thames" w:hAnsi="XO Thames"/>
      <w:sz w:val="28"/>
    </w:rPr>
  </w:style>
  <w:style w:styleId="Style_45_ch" w:type="character">
    <w:name w:val="toc 5"/>
    <w:link w:val="Style_45"/>
    <w:rPr>
      <w:rFonts w:ascii="XO Thames" w:hAnsi="XO Thames"/>
      <w:sz w:val="28"/>
    </w:rPr>
  </w:style>
  <w:style w:styleId="Style_46" w:type="paragraph">
    <w:name w:val="Subtitle"/>
    <w:next w:val="Style_1"/>
    <w:link w:val="Style_46_ch"/>
    <w:uiPriority w:val="11"/>
    <w:qFormat/>
    <w:pPr>
      <w:spacing w:after="160" w:line="264" w:lineRule="auto"/>
      <w:ind/>
      <w:jc w:val="both"/>
    </w:pPr>
    <w:rPr>
      <w:rFonts w:ascii="XO Thames" w:hAnsi="XO Thames"/>
      <w:i w:val="1"/>
      <w:sz w:val="24"/>
    </w:rPr>
  </w:style>
  <w:style w:styleId="Style_46_ch" w:type="character">
    <w:name w:val="Subtitle"/>
    <w:link w:val="Style_46"/>
    <w:rPr>
      <w:rFonts w:ascii="XO Thames" w:hAnsi="XO Thames"/>
      <w:i w:val="1"/>
      <w:sz w:val="24"/>
    </w:rPr>
  </w:style>
  <w:style w:styleId="Style_47" w:type="paragraph">
    <w:name w:val="Оглавление 1 Знак"/>
    <w:link w:val="Style_47_ch"/>
    <w:rPr>
      <w:rFonts w:ascii="XO Thames" w:hAnsi="XO Thames"/>
      <w:b w:val="1"/>
      <w:sz w:val="28"/>
    </w:rPr>
  </w:style>
  <w:style w:styleId="Style_47_ch" w:type="character">
    <w:name w:val="Оглавление 1 Знак"/>
    <w:link w:val="Style_47"/>
    <w:rPr>
      <w:rFonts w:ascii="XO Thames" w:hAnsi="XO Thames"/>
      <w:b w:val="1"/>
      <w:sz w:val="28"/>
    </w:rPr>
  </w:style>
  <w:style w:styleId="Style_48" w:type="paragraph">
    <w:name w:val="Title"/>
    <w:next w:val="Style_1"/>
    <w:link w:val="Style_48_ch"/>
    <w:uiPriority w:val="10"/>
    <w:qFormat/>
    <w:pPr>
      <w:spacing w:after="567" w:before="567" w:line="264" w:lineRule="auto"/>
      <w:ind/>
      <w:jc w:val="center"/>
    </w:pPr>
    <w:rPr>
      <w:rFonts w:ascii="XO Thames" w:hAnsi="XO Thames"/>
      <w:b w:val="1"/>
      <w:caps w:val="1"/>
      <w:sz w:val="40"/>
    </w:rPr>
  </w:style>
  <w:style w:styleId="Style_48_ch" w:type="character">
    <w:name w:val="Title"/>
    <w:link w:val="Style_48"/>
    <w:rPr>
      <w:rFonts w:ascii="XO Thames" w:hAnsi="XO Thames"/>
      <w:b w:val="1"/>
      <w:caps w:val="1"/>
      <w:sz w:val="40"/>
    </w:rPr>
  </w:style>
  <w:style w:styleId="Style_49" w:type="paragraph">
    <w:name w:val="heading 4"/>
    <w:next w:val="Style_1"/>
    <w:link w:val="Style_49_ch"/>
    <w:uiPriority w:val="9"/>
    <w:qFormat/>
    <w:pPr>
      <w:spacing w:after="120" w:before="120" w:line="264" w:lineRule="auto"/>
      <w:ind/>
      <w:jc w:val="both"/>
      <w:outlineLvl w:val="3"/>
    </w:pPr>
    <w:rPr>
      <w:rFonts w:ascii="XO Thames" w:hAnsi="XO Thames"/>
      <w:b w:val="1"/>
      <w:sz w:val="24"/>
    </w:rPr>
  </w:style>
  <w:style w:styleId="Style_49_ch" w:type="character">
    <w:name w:val="heading 4"/>
    <w:link w:val="Style_49"/>
    <w:rPr>
      <w:rFonts w:ascii="XO Thames" w:hAnsi="XO Thames"/>
      <w:b w:val="1"/>
      <w:sz w:val="24"/>
    </w:rPr>
  </w:style>
  <w:style w:styleId="Style_50" w:type="paragraph">
    <w:name w:val="List"/>
    <w:basedOn w:val="Style_13"/>
    <w:link w:val="Style_50_ch"/>
    <w:rPr>
      <w:rFonts w:ascii="PT Astra Serif" w:hAnsi="PT Astra Serif"/>
    </w:rPr>
  </w:style>
  <w:style w:styleId="Style_50_ch" w:type="character">
    <w:name w:val="List"/>
    <w:basedOn w:val="Style_13_ch"/>
    <w:link w:val="Style_50"/>
    <w:rPr>
      <w:rFonts w:ascii="PT Astra Serif" w:hAnsi="PT Astra Serif"/>
    </w:rPr>
  </w:style>
  <w:style w:styleId="Style_51" w:type="paragraph">
    <w:name w:val="heading 2"/>
    <w:next w:val="Style_1"/>
    <w:link w:val="Style_51_ch"/>
    <w:uiPriority w:val="9"/>
    <w:qFormat/>
    <w:pPr>
      <w:spacing w:after="120" w:before="120" w:line="264" w:lineRule="auto"/>
      <w:ind/>
      <w:jc w:val="both"/>
      <w:outlineLvl w:val="1"/>
    </w:pPr>
    <w:rPr>
      <w:rFonts w:ascii="XO Thames" w:hAnsi="XO Thames"/>
      <w:b w:val="1"/>
      <w:sz w:val="28"/>
    </w:rPr>
  </w:style>
  <w:style w:styleId="Style_51_ch" w:type="character">
    <w:name w:val="heading 2"/>
    <w:link w:val="Style_51"/>
    <w:rPr>
      <w:rFonts w:ascii="XO Thames" w:hAnsi="XO Thames"/>
      <w:b w:val="1"/>
      <w:sz w:val="28"/>
    </w:rPr>
  </w:style>
  <w:style w:styleId="Style_52" w:type="paragraph">
    <w:name w:val="Заголовок 5 Знак"/>
    <w:link w:val="Style_52_ch"/>
    <w:rPr>
      <w:rFonts w:ascii="XO Thames" w:hAnsi="XO Thames"/>
      <w:b w:val="1"/>
    </w:rPr>
  </w:style>
  <w:style w:styleId="Style_52_ch" w:type="character">
    <w:name w:val="Заголовок 5 Знак"/>
    <w:link w:val="Style_52"/>
    <w:rPr>
      <w:rFonts w:ascii="XO Thames" w:hAnsi="XO Thames"/>
      <w:b w:val="1"/>
    </w:rPr>
  </w:style>
  <w:style w:styleId="Style_53" w:type="paragraph">
    <w:name w:val="Интернет-ссылка"/>
    <w:link w:val="Style_53_ch"/>
    <w:rPr>
      <w:color w:val="0000FF"/>
      <w:u w:val="single"/>
    </w:rPr>
  </w:style>
  <w:style w:styleId="Style_53_ch" w:type="character">
    <w:name w:val="Интернет-ссылка"/>
    <w:link w:val="Style_53"/>
    <w:rPr>
      <w:color w:val="0000FF"/>
      <w:u w:val="single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54" w:type="table">
    <w:name w:val="Table Grid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MyOffice-CoreFramework-Linux/33-1224.848.9400.852.1@a485da99dcc738e8c7d147737040082c6b3f9fe8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2024-12-27T06:53:58Z</dcterms:modified>
</cp:coreProperties>
</file>