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2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4000000">
      <w:pPr>
        <w:spacing w:line="360" w:lineRule="exact"/>
        <w:ind w:firstLine="709" w:left="0"/>
        <w:jc w:val="right"/>
        <w:rPr>
          <w:sz w:val="28"/>
        </w:rPr>
      </w:pPr>
      <w:r>
        <w:rPr>
          <w:sz w:val="28"/>
        </w:rPr>
        <w:t>Проект</w:t>
      </w:r>
    </w:p>
    <w:p w14:paraId="05000000">
      <w:pPr>
        <w:spacing w:line="360" w:lineRule="exact"/>
        <w:ind/>
        <w:rPr>
          <w:b w:val="1"/>
          <w:sz w:val="28"/>
        </w:rPr>
      </w:pPr>
    </w:p>
    <w:p w14:paraId="06000000">
      <w:pPr>
        <w:spacing w:line="360" w:lineRule="exact"/>
        <w:ind w:firstLine="709" w:left="0"/>
        <w:jc w:val="center"/>
        <w:rPr>
          <w:sz w:val="28"/>
        </w:rPr>
      </w:pPr>
      <w:r>
        <w:rPr>
          <w:sz w:val="28"/>
        </w:rPr>
        <w:t>ПРАВИТЕЛЬСТВО РЕСПУБЛИКИ САХА</w:t>
      </w:r>
      <w:r>
        <w:rPr>
          <w:sz w:val="28"/>
        </w:rPr>
        <w:t> </w:t>
      </w:r>
      <w:r>
        <w:rPr>
          <w:sz w:val="28"/>
        </w:rPr>
        <w:t>(ЯКУТИЯ)</w:t>
      </w:r>
    </w:p>
    <w:p w14:paraId="07000000">
      <w:pPr>
        <w:spacing w:line="360" w:lineRule="exact"/>
        <w:ind w:firstLine="709" w:left="0"/>
        <w:jc w:val="center"/>
        <w:rPr>
          <w:sz w:val="28"/>
        </w:rPr>
      </w:pPr>
      <w:r>
        <w:rPr>
          <w:sz w:val="28"/>
        </w:rPr>
        <w:t>ПОСТАНОВЛЕНИЕ</w:t>
      </w:r>
    </w:p>
    <w:p w14:paraId="08000000">
      <w:pPr>
        <w:spacing w:line="360" w:lineRule="exact"/>
        <w:ind w:firstLine="709" w:left="0"/>
        <w:jc w:val="center"/>
        <w:rPr>
          <w:sz w:val="28"/>
        </w:rPr>
      </w:pPr>
    </w:p>
    <w:p w14:paraId="09000000">
      <w:pPr>
        <w:spacing w:line="360" w:lineRule="exact"/>
        <w:ind w:firstLine="709" w:left="0"/>
        <w:jc w:val="center"/>
        <w:rPr>
          <w:sz w:val="28"/>
        </w:rPr>
      </w:pPr>
      <w:r>
        <w:rPr>
          <w:sz w:val="28"/>
        </w:rPr>
        <w:t>от ___   ______ 20</w:t>
      </w:r>
      <w:r>
        <w:rPr>
          <w:sz w:val="28"/>
        </w:rPr>
        <w:t>__</w:t>
      </w:r>
      <w:r>
        <w:rPr>
          <w:sz w:val="28"/>
        </w:rPr>
        <w:t xml:space="preserve"> года N _____</w:t>
      </w:r>
    </w:p>
    <w:p w14:paraId="0A000000">
      <w:pPr>
        <w:pStyle w:val="Style_2"/>
        <w:tabs>
          <w:tab w:leader="none" w:pos="4677" w:val="clear"/>
          <w:tab w:leader="none" w:pos="9355" w:val="clear"/>
        </w:tabs>
        <w:ind/>
        <w:rPr>
          <w:sz w:val="28"/>
        </w:rPr>
      </w:pPr>
    </w:p>
    <w:p w14:paraId="0B000000">
      <w:pPr>
        <w:pStyle w:val="Style_2"/>
        <w:tabs>
          <w:tab w:leader="none" w:pos="4677" w:val="clear"/>
          <w:tab w:leader="none" w:pos="9355" w:val="clear"/>
        </w:tabs>
        <w:ind/>
        <w:jc w:val="center"/>
        <w:rPr>
          <w:b w:val="1"/>
          <w:sz w:val="28"/>
        </w:rPr>
      </w:pPr>
      <w:r>
        <w:rPr>
          <w:b w:val="1"/>
          <w:sz w:val="28"/>
        </w:rPr>
        <w:t>Об утверждении Порядка направления экономии, образовавшейся по результатам заключения муниципальных контрактов на закупку товаров, работ, услуг для обеспечения муниципальных нужд, источником обеспечения которой являются межбюджетные трансферты из государственного бюджета</w:t>
      </w:r>
      <w:r>
        <w:rPr>
          <w:b w:val="1"/>
          <w:sz w:val="28"/>
        </w:rPr>
        <w:t xml:space="preserve"> </w:t>
      </w:r>
      <w:r>
        <w:rPr>
          <w:b w:val="1"/>
          <w:sz w:val="28"/>
        </w:rPr>
        <w:t>Республики Саха</w:t>
      </w:r>
      <w:r>
        <w:rPr>
          <w:b w:val="1"/>
          <w:sz w:val="28"/>
        </w:rPr>
        <w:t> </w:t>
      </w:r>
      <w:r>
        <w:rPr>
          <w:b w:val="1"/>
          <w:sz w:val="28"/>
        </w:rPr>
        <w:t>(Якутия) местным бюджетам, на реализацию мероприятий (результатов) муниципальных программ, обеспечивающих реализацию региональных проектов, направленных на достижение целей, показателей и реализацию мероприятий (результатов) федеральных проектов, входящих в состав национальных проектов</w:t>
      </w:r>
    </w:p>
    <w:p w14:paraId="0C000000">
      <w:pPr>
        <w:ind/>
        <w:jc w:val="both"/>
        <w:rPr>
          <w:sz w:val="28"/>
        </w:rPr>
      </w:pPr>
    </w:p>
    <w:p w14:paraId="0D000000">
      <w:pPr>
        <w:spacing w:line="240" w:lineRule="auto"/>
        <w:ind w:firstLine="709" w:left="0"/>
        <w:contextualSpacing w:val="1"/>
        <w:jc w:val="both"/>
        <w:rPr>
          <w:b w:val="0"/>
          <w:sz w:val="28"/>
        </w:rPr>
      </w:pPr>
      <w:r>
        <w:rPr>
          <w:b w:val="0"/>
          <w:sz w:val="28"/>
        </w:rPr>
        <w:t xml:space="preserve">В соответствии с частью 3.1 статьи 7 Федерального закона от 28 ноября 2018 года N 457-ФЗ «О внесении изменений в Бюджетный кодекс Российской Федерации и отдельные законодательные акты Российской Федерации», с Общими требованиями к Порядку направления </w:t>
      </w:r>
      <w:r>
        <w:rPr>
          <w:b w:val="0"/>
          <w:sz w:val="28"/>
        </w:rPr>
        <w:t xml:space="preserve">экономии, </w:t>
      </w:r>
      <w:r>
        <w:rPr>
          <w:b w:val="0"/>
          <w:sz w:val="28"/>
        </w:rPr>
        <w:t xml:space="preserve">образовавшейся по результатам заключения муниципальных контрактов на закупку товаров, работ, услуг для обеспечения муниципальных нужд, источником обеспечения которой являются межбюджетные трансферты из бюджета субъекта Российской Федерации </w:t>
      </w:r>
      <w:r>
        <w:rPr>
          <w:b w:val="0"/>
          <w:sz w:val="28"/>
        </w:rPr>
        <w:t xml:space="preserve">местному бюджету, на реализацию мероприятий (результатов) муниципальных программ, обеспечивающих реализацию региональных проектов, направленных на достижение целей, показателей и реализацию мероприятий (результатов) федеральных проектов, входящих в состав национальных проектов, утвержденными </w:t>
      </w:r>
      <w:r>
        <w:rPr>
          <w:b w:val="0"/>
          <w:sz w:val="28"/>
        </w:rPr>
        <w:t>пос</w:t>
      </w:r>
      <w:r>
        <w:rPr>
          <w:b w:val="0"/>
          <w:sz w:val="28"/>
        </w:rPr>
        <w:t>тановлением Правительства Российской Федерации от 6 ноября 2024 года N 1491</w:t>
      </w:r>
      <w:r>
        <w:rPr>
          <w:b w:val="0"/>
          <w:sz w:val="28"/>
        </w:rPr>
        <w:t>,</w:t>
      </w:r>
      <w:r>
        <w:rPr>
          <w:b w:val="0"/>
          <w:sz w:val="28"/>
        </w:rPr>
        <w:t xml:space="preserve"> </w:t>
      </w:r>
      <w:r>
        <w:rPr>
          <w:b w:val="0"/>
          <w:sz w:val="28"/>
        </w:rPr>
        <w:t>Правительство Республики Саха</w:t>
      </w:r>
      <w:r>
        <w:rPr>
          <w:b w:val="0"/>
          <w:sz w:val="28"/>
        </w:rPr>
        <w:t> </w:t>
      </w:r>
      <w:r>
        <w:rPr>
          <w:b w:val="0"/>
          <w:sz w:val="28"/>
        </w:rPr>
        <w:t>(Якутия) постановляет:</w:t>
      </w:r>
    </w:p>
    <w:p w14:paraId="0E000000">
      <w:pPr>
        <w:numPr>
          <w:numId w:val="1"/>
        </w:numPr>
        <w:spacing w:line="240" w:lineRule="auto"/>
        <w:ind w:firstLine="709" w:left="0"/>
        <w:contextualSpacing w:val="1"/>
        <w:jc w:val="both"/>
        <w:rPr>
          <w:b w:val="0"/>
          <w:sz w:val="28"/>
        </w:rPr>
      </w:pPr>
      <w:r>
        <w:rPr>
          <w:b w:val="0"/>
          <w:sz w:val="28"/>
        </w:rPr>
        <w:t>Утвердить По</w:t>
      </w:r>
      <w:r>
        <w:rPr>
          <w:b w:val="0"/>
          <w:sz w:val="28"/>
        </w:rPr>
        <w:t>ряд</w:t>
      </w:r>
      <w:r>
        <w:rPr>
          <w:b w:val="0"/>
          <w:sz w:val="28"/>
        </w:rPr>
        <w:t xml:space="preserve">ок </w:t>
      </w:r>
      <w:r>
        <w:rPr>
          <w:b w:val="0"/>
          <w:sz w:val="28"/>
        </w:rPr>
        <w:t>направления экономии, образовавшейся по результатам заключения муниципальных контрактов на закупку товаров, работ, услуг для обеспечения муниципальных нужд, источником обеспечения которой являются межбюджетные трансферты из государственного бюджета</w:t>
      </w:r>
      <w:r>
        <w:rPr>
          <w:b w:val="0"/>
          <w:sz w:val="28"/>
        </w:rPr>
        <w:t xml:space="preserve"> </w:t>
      </w:r>
      <w:r>
        <w:rPr>
          <w:b w:val="0"/>
          <w:sz w:val="28"/>
        </w:rPr>
        <w:t>Республики Саха</w:t>
      </w:r>
      <w:r>
        <w:rPr>
          <w:b w:val="0"/>
          <w:sz w:val="28"/>
        </w:rPr>
        <w:t> </w:t>
      </w:r>
      <w:r>
        <w:rPr>
          <w:b w:val="0"/>
          <w:sz w:val="28"/>
        </w:rPr>
        <w:t xml:space="preserve">(Якутия) </w:t>
      </w:r>
      <w:r>
        <w:rPr>
          <w:b w:val="0"/>
          <w:sz w:val="28"/>
        </w:rPr>
        <w:t>местным бюджетам, на реализацию мероприятий (результатов) муниципальных программ, обеспечивающих реализацию региональных проектов, направленных на достижение целей, показателей и реализацию мероприятий (результатов) федеральных проектов, входящих в состав национальных проектов согласно приложению к настоящему постановлению (далее - Порядок).</w:t>
      </w:r>
    </w:p>
    <w:p w14:paraId="0F000000">
      <w:pPr>
        <w:numPr>
          <w:numId w:val="1"/>
        </w:numPr>
        <w:spacing w:line="240" w:lineRule="auto"/>
        <w:ind w:firstLine="709" w:left="0"/>
        <w:contextualSpacing w:val="1"/>
        <w:jc w:val="both"/>
        <w:rPr>
          <w:b w:val="0"/>
          <w:sz w:val="28"/>
        </w:rPr>
      </w:pPr>
      <w:r>
        <w:rPr>
          <w:b w:val="0"/>
          <w:sz w:val="28"/>
        </w:rPr>
        <w:t>Г</w:t>
      </w:r>
      <w:r>
        <w:rPr>
          <w:b w:val="0"/>
          <w:sz w:val="28"/>
        </w:rPr>
        <w:t>лавным распорядителям бюджетных средств</w:t>
      </w:r>
      <w:r>
        <w:rPr>
          <w:sz w:val="28"/>
        </w:rPr>
        <w:t xml:space="preserve"> </w:t>
      </w:r>
      <w:r>
        <w:rPr>
          <w:sz w:val="28"/>
        </w:rPr>
        <w:t>Республики Саха (Якутия) обеспечить приведение</w:t>
      </w:r>
      <w:r>
        <w:rPr>
          <w:b w:val="0"/>
          <w:sz w:val="28"/>
        </w:rPr>
        <w:t xml:space="preserve"> Порядков предоставления и распределения субсидий (иных межбюджетных трансфертов) из государственного бюджета Республики Саха (Якутия) местным бюджетам в соответствие с утвержденным Порядком.</w:t>
      </w:r>
    </w:p>
    <w:p w14:paraId="10000000">
      <w:pPr>
        <w:pStyle w:val="Style_3"/>
        <w:numPr>
          <w:numId w:val="1"/>
        </w:numPr>
        <w:tabs>
          <w:tab w:leader="none" w:pos="1276" w:val="left"/>
        </w:tabs>
        <w:spacing w:line="240" w:lineRule="auto"/>
        <w:ind w:firstLine="709" w:left="0"/>
        <w:jc w:val="both"/>
        <w:rPr>
          <w:sz w:val="28"/>
        </w:rPr>
      </w:pPr>
      <w:r>
        <w:rPr>
          <w:rFonts w:ascii="Times New Roman" w:hAnsi="Times New Roman"/>
          <w:sz w:val="28"/>
        </w:rPr>
        <w:t>Настоящее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постановление</w:t>
      </w:r>
      <w:r>
        <w:rPr>
          <w:rFonts w:ascii="Times New Roman" w:hAnsi="Times New Roman"/>
          <w:sz w:val="28"/>
        </w:rPr>
        <w:t xml:space="preserve"> вступает в силу</w:t>
      </w:r>
      <w:r>
        <w:rPr>
          <w:rFonts w:ascii="Times New Roman" w:hAnsi="Times New Roman"/>
          <w:sz w:val="28"/>
        </w:rPr>
        <w:t xml:space="preserve"> с момента опубликования в официальных средствах массовой информации и распространяется на правоотношения, возникшие с 1 января 2025 года</w:t>
      </w:r>
      <w:r>
        <w:rPr>
          <w:rFonts w:ascii="Times New Roman" w:hAnsi="Times New Roman"/>
          <w:sz w:val="28"/>
        </w:rPr>
        <w:t>.</w:t>
      </w:r>
    </w:p>
    <w:p w14:paraId="11000000">
      <w:pPr>
        <w:pStyle w:val="Style_3"/>
        <w:numPr>
          <w:numId w:val="1"/>
        </w:numPr>
        <w:tabs>
          <w:tab w:leader="none" w:pos="1276" w:val="left"/>
        </w:tabs>
        <w:spacing w:line="240" w:lineRule="auto"/>
        <w:ind w:firstLine="709" w:left="0"/>
        <w:jc w:val="both"/>
        <w:rPr>
          <w:sz w:val="28"/>
        </w:rPr>
      </w:pPr>
      <w:r>
        <w:rPr>
          <w:sz w:val="28"/>
        </w:rPr>
        <w:t>Контроль исполнения настоящего постановления оставляю за собой.</w:t>
      </w:r>
    </w:p>
    <w:p w14:paraId="12000000">
      <w:pPr>
        <w:pStyle w:val="Style_3"/>
        <w:numPr>
          <w:numId w:val="1"/>
        </w:numPr>
        <w:tabs>
          <w:tab w:leader="none" w:pos="1276" w:val="left"/>
        </w:tabs>
        <w:spacing w:line="240" w:lineRule="auto"/>
        <w:ind w:firstLine="709" w:left="0"/>
        <w:jc w:val="both"/>
        <w:rPr>
          <w:sz w:val="28"/>
        </w:rPr>
      </w:pPr>
      <w:r>
        <w:rPr>
          <w:rFonts w:ascii="Times New Roman" w:hAnsi="Times New Roman"/>
          <w:sz w:val="28"/>
        </w:rPr>
        <w:t>Опубликовать настоящее постановление в официальных средствах массовой информации.</w:t>
      </w:r>
    </w:p>
    <w:p w14:paraId="13000000">
      <w:pPr>
        <w:pStyle w:val="Style_3"/>
        <w:ind w:firstLine="709" w:left="0"/>
        <w:jc w:val="both"/>
        <w:rPr>
          <w:sz w:val="28"/>
        </w:rPr>
      </w:pPr>
    </w:p>
    <w:p w14:paraId="14000000">
      <w:pPr>
        <w:pStyle w:val="Style_3"/>
        <w:ind w:firstLine="709" w:left="0"/>
        <w:jc w:val="both"/>
        <w:rPr>
          <w:sz w:val="28"/>
        </w:rPr>
      </w:pPr>
    </w:p>
    <w:p w14:paraId="15000000">
      <w:pPr>
        <w:pStyle w:val="Style_2"/>
        <w:tabs>
          <w:tab w:leader="none" w:pos="4677" w:val="clear"/>
          <w:tab w:leader="none" w:pos="9355" w:val="clear"/>
        </w:tabs>
        <w:ind/>
        <w:rPr>
          <w:sz w:val="28"/>
        </w:rPr>
      </w:pPr>
    </w:p>
    <w:p w14:paraId="16000000">
      <w:pPr>
        <w:pStyle w:val="Style_2"/>
        <w:tabs>
          <w:tab w:leader="none" w:pos="4677" w:val="clear"/>
          <w:tab w:leader="none" w:pos="9355" w:val="clear"/>
        </w:tabs>
        <w:ind/>
        <w:rPr>
          <w:sz w:val="28"/>
        </w:rPr>
      </w:pPr>
    </w:p>
    <w:tbl>
      <w:tblPr>
        <w:tblStyle w:val="Style_4"/>
        <w:tblW w:type="auto" w:w="0"/>
        <w:tblInd w:type="dxa" w:w="-34"/>
        <w:tblBorders>
          <w:top w:color="000000" w:sz="4" w:val="nil"/>
          <w:left w:color="000000" w:sz="4" w:val="nil"/>
          <w:bottom w:color="000000" w:sz="4" w:val="nil"/>
          <w:right w:color="000000" w:sz="4" w:val="nil"/>
          <w:insideH w:color="000000" w:sz="4" w:val="nil"/>
          <w:insideV w:color="000000" w:sz="4" w:val="nil"/>
        </w:tblBorders>
        <w:tblLayout w:type="fixed"/>
      </w:tblPr>
      <w:tblGrid>
        <w:gridCol w:w="3799"/>
        <w:gridCol w:w="2835"/>
        <w:gridCol w:w="2864"/>
      </w:tblGrid>
      <w:tr>
        <w:tc>
          <w:tcPr>
            <w:tcW w:type="dxa" w:w="3799"/>
            <w:tcBorders>
              <w:top w:color="000000" w:sz="4" w:val="nil"/>
              <w:left w:color="000000" w:sz="4" w:val="nil"/>
              <w:bottom w:color="000000" w:sz="4" w:val="nil"/>
              <w:right w:color="000000" w:sz="4" w:val="nil"/>
            </w:tcBorders>
          </w:tcPr>
          <w:p w14:paraId="17000000">
            <w:pPr>
              <w:pStyle w:val="Style_5"/>
              <w:ind w:firstLine="0" w:left="34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Председатель Правительства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Республики Са</w:t>
            </w:r>
            <w:r>
              <w:rPr>
                <w:rFonts w:ascii="Times New Roman" w:hAnsi="Times New Roman"/>
                <w:sz w:val="28"/>
              </w:rPr>
              <w:t>х</w:t>
            </w:r>
            <w:r>
              <w:rPr>
                <w:rFonts w:ascii="Times New Roman" w:hAnsi="Times New Roman"/>
                <w:sz w:val="28"/>
              </w:rPr>
              <w:t>а</w:t>
            </w:r>
            <w:r>
              <w:rPr>
                <w:rFonts w:ascii="Times New Roman" w:hAnsi="Times New Roman"/>
                <w:sz w:val="28"/>
              </w:rPr>
              <w:t> </w:t>
            </w:r>
            <w:r>
              <w:rPr>
                <w:rFonts w:ascii="Times New Roman" w:hAnsi="Times New Roman"/>
                <w:sz w:val="28"/>
              </w:rPr>
              <w:t>(Якутия)</w:t>
            </w:r>
          </w:p>
        </w:tc>
        <w:tc>
          <w:tcPr>
            <w:tcW w:type="dxa" w:w="2835"/>
            <w:tcBorders>
              <w:top w:color="000000" w:sz="4" w:val="nil"/>
              <w:left w:color="000000" w:sz="4" w:val="nil"/>
              <w:bottom w:color="000000" w:sz="4" w:val="nil"/>
              <w:right w:color="000000" w:sz="4" w:val="nil"/>
            </w:tcBorders>
          </w:tcPr>
          <w:p w14:paraId="18000000">
            <w:pPr>
              <w:pStyle w:val="Style_5"/>
              <w:ind w:firstLine="0" w:left="-22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2864"/>
            <w:tcBorders>
              <w:top w:color="000000" w:sz="4" w:val="nil"/>
              <w:left w:color="000000" w:sz="4" w:val="nil"/>
              <w:bottom w:color="000000" w:sz="4" w:val="nil"/>
              <w:right w:color="000000" w:sz="4" w:val="nil"/>
            </w:tcBorders>
          </w:tcPr>
          <w:p w14:paraId="19000000">
            <w:pPr>
              <w:pStyle w:val="Style_5"/>
              <w:ind w:right="-108"/>
              <w:jc w:val="right"/>
              <w:rPr>
                <w:rFonts w:ascii="Times New Roman" w:hAnsi="Times New Roman"/>
                <w:sz w:val="28"/>
              </w:rPr>
            </w:pPr>
          </w:p>
          <w:p w14:paraId="1A000000">
            <w:pPr>
              <w:pStyle w:val="Style_5"/>
              <w:ind w:right="-108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К.</w:t>
            </w:r>
            <w:r>
              <w:rPr>
                <w:rFonts w:ascii="Times New Roman" w:hAnsi="Times New Roman"/>
                <w:sz w:val="28"/>
              </w:rPr>
              <w:t>Е.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Бычков</w:t>
            </w:r>
          </w:p>
        </w:tc>
      </w:tr>
    </w:tbl>
    <w:p w14:paraId="1B000000">
      <w:pPr>
        <w:pStyle w:val="Style_2"/>
        <w:tabs>
          <w:tab w:leader="none" w:pos="4677" w:val="clear"/>
          <w:tab w:leader="none" w:pos="9355" w:val="clear"/>
        </w:tabs>
        <w:ind/>
        <w:rPr>
          <w:sz w:val="28"/>
        </w:rPr>
      </w:pPr>
    </w:p>
    <w:p w14:paraId="1C000000">
      <w:pPr>
        <w:pStyle w:val="Style_2"/>
        <w:tabs>
          <w:tab w:leader="none" w:pos="4677" w:val="clear"/>
          <w:tab w:leader="none" w:pos="9355" w:val="clear"/>
        </w:tabs>
        <w:ind/>
        <w:rPr>
          <w:sz w:val="28"/>
        </w:rPr>
      </w:pPr>
    </w:p>
    <w:p w14:paraId="1D000000">
      <w:pPr>
        <w:pStyle w:val="Style_2"/>
        <w:tabs>
          <w:tab w:leader="none" w:pos="4677" w:val="clear"/>
          <w:tab w:leader="none" w:pos="9355" w:val="clear"/>
        </w:tabs>
        <w:ind/>
        <w:rPr>
          <w:sz w:val="28"/>
        </w:rPr>
      </w:pPr>
    </w:p>
    <w:p w14:paraId="1E000000">
      <w:pPr>
        <w:pStyle w:val="Style_2"/>
        <w:tabs>
          <w:tab w:leader="none" w:pos="4677" w:val="clear"/>
          <w:tab w:leader="none" w:pos="9355" w:val="clear"/>
        </w:tabs>
        <w:ind/>
        <w:rPr>
          <w:sz w:val="28"/>
        </w:rPr>
      </w:pPr>
    </w:p>
    <w:p w14:paraId="1F000000">
      <w:pPr>
        <w:pStyle w:val="Style_2"/>
        <w:tabs>
          <w:tab w:leader="none" w:pos="4677" w:val="clear"/>
          <w:tab w:leader="none" w:pos="9355" w:val="clear"/>
        </w:tabs>
        <w:ind/>
        <w:rPr>
          <w:sz w:val="28"/>
        </w:rPr>
      </w:pPr>
    </w:p>
    <w:p w14:paraId="20000000">
      <w:pPr>
        <w:pStyle w:val="Style_2"/>
        <w:tabs>
          <w:tab w:leader="none" w:pos="4677" w:val="clear"/>
          <w:tab w:leader="none" w:pos="9355" w:val="clear"/>
        </w:tabs>
        <w:ind/>
        <w:rPr>
          <w:sz w:val="28"/>
        </w:rPr>
      </w:pPr>
    </w:p>
    <w:p w14:paraId="21000000">
      <w:pPr>
        <w:pStyle w:val="Style_2"/>
        <w:tabs>
          <w:tab w:leader="none" w:pos="4677" w:val="clear"/>
          <w:tab w:leader="none" w:pos="9355" w:val="clear"/>
        </w:tabs>
        <w:ind/>
        <w:rPr>
          <w:sz w:val="28"/>
        </w:rPr>
      </w:pPr>
    </w:p>
    <w:p w14:paraId="22000000">
      <w:pPr>
        <w:pStyle w:val="Style_2"/>
        <w:tabs>
          <w:tab w:leader="none" w:pos="4677" w:val="clear"/>
          <w:tab w:leader="none" w:pos="9355" w:val="clear"/>
        </w:tabs>
        <w:ind/>
        <w:rPr>
          <w:sz w:val="28"/>
        </w:rPr>
      </w:pPr>
    </w:p>
    <w:p w14:paraId="23000000">
      <w:pPr>
        <w:pStyle w:val="Style_2"/>
        <w:tabs>
          <w:tab w:leader="none" w:pos="4677" w:val="clear"/>
          <w:tab w:leader="none" w:pos="9355" w:val="clear"/>
        </w:tabs>
        <w:ind/>
        <w:rPr>
          <w:sz w:val="28"/>
        </w:rPr>
      </w:pPr>
    </w:p>
    <w:p w14:paraId="24000000">
      <w:pPr>
        <w:pStyle w:val="Style_2"/>
        <w:tabs>
          <w:tab w:leader="none" w:pos="4677" w:val="clear"/>
          <w:tab w:leader="none" w:pos="9355" w:val="clear"/>
        </w:tabs>
        <w:ind/>
        <w:rPr>
          <w:sz w:val="28"/>
        </w:rPr>
      </w:pPr>
    </w:p>
    <w:p w14:paraId="25000000">
      <w:pPr>
        <w:pStyle w:val="Style_2"/>
        <w:tabs>
          <w:tab w:leader="none" w:pos="4677" w:val="clear"/>
          <w:tab w:leader="none" w:pos="9355" w:val="clear"/>
        </w:tabs>
        <w:ind/>
        <w:rPr>
          <w:sz w:val="28"/>
        </w:rPr>
      </w:pPr>
    </w:p>
    <w:p w14:paraId="26000000">
      <w:pPr>
        <w:pStyle w:val="Style_2"/>
        <w:tabs>
          <w:tab w:leader="none" w:pos="4677" w:val="clear"/>
          <w:tab w:leader="none" w:pos="9355" w:val="clear"/>
        </w:tabs>
        <w:ind/>
        <w:rPr>
          <w:sz w:val="28"/>
        </w:rPr>
      </w:pPr>
    </w:p>
    <w:p w14:paraId="27000000">
      <w:pPr>
        <w:pStyle w:val="Style_2"/>
        <w:tabs>
          <w:tab w:leader="none" w:pos="4677" w:val="clear"/>
          <w:tab w:leader="none" w:pos="9355" w:val="clear"/>
        </w:tabs>
        <w:ind/>
        <w:rPr>
          <w:sz w:val="28"/>
        </w:rPr>
      </w:pPr>
    </w:p>
    <w:p w14:paraId="28000000">
      <w:pPr>
        <w:pStyle w:val="Style_2"/>
        <w:tabs>
          <w:tab w:leader="none" w:pos="4677" w:val="clear"/>
          <w:tab w:leader="none" w:pos="9355" w:val="clear"/>
        </w:tabs>
        <w:ind/>
        <w:rPr>
          <w:sz w:val="28"/>
        </w:rPr>
      </w:pPr>
    </w:p>
    <w:p w14:paraId="29000000">
      <w:pPr>
        <w:pStyle w:val="Style_2"/>
        <w:tabs>
          <w:tab w:leader="none" w:pos="4677" w:val="clear"/>
          <w:tab w:leader="none" w:pos="9355" w:val="clear"/>
        </w:tabs>
        <w:ind/>
        <w:rPr>
          <w:sz w:val="28"/>
        </w:rPr>
      </w:pPr>
    </w:p>
    <w:p w14:paraId="2A000000">
      <w:pPr>
        <w:pStyle w:val="Style_2"/>
        <w:tabs>
          <w:tab w:leader="none" w:pos="4677" w:val="clear"/>
          <w:tab w:leader="none" w:pos="9355" w:val="clear"/>
        </w:tabs>
        <w:ind/>
        <w:rPr>
          <w:sz w:val="28"/>
        </w:rPr>
      </w:pPr>
    </w:p>
    <w:p w14:paraId="2B000000">
      <w:pPr>
        <w:pStyle w:val="Style_2"/>
        <w:tabs>
          <w:tab w:leader="none" w:pos="4677" w:val="clear"/>
          <w:tab w:leader="none" w:pos="9355" w:val="clear"/>
        </w:tabs>
        <w:ind/>
        <w:rPr>
          <w:sz w:val="28"/>
        </w:rPr>
      </w:pPr>
    </w:p>
    <w:p w14:paraId="2C000000">
      <w:pPr>
        <w:pStyle w:val="Style_2"/>
        <w:tabs>
          <w:tab w:leader="none" w:pos="4677" w:val="clear"/>
          <w:tab w:leader="none" w:pos="9355" w:val="clear"/>
        </w:tabs>
        <w:ind/>
        <w:rPr>
          <w:sz w:val="28"/>
        </w:rPr>
      </w:pPr>
    </w:p>
    <w:p w14:paraId="2D000000">
      <w:pPr>
        <w:pStyle w:val="Style_2"/>
        <w:tabs>
          <w:tab w:leader="none" w:pos="4677" w:val="clear"/>
          <w:tab w:leader="none" w:pos="9355" w:val="clear"/>
        </w:tabs>
        <w:ind/>
        <w:rPr>
          <w:sz w:val="28"/>
        </w:rPr>
      </w:pPr>
    </w:p>
    <w:p w14:paraId="2E000000">
      <w:pPr>
        <w:pStyle w:val="Style_2"/>
        <w:tabs>
          <w:tab w:leader="none" w:pos="4677" w:val="clear"/>
          <w:tab w:leader="none" w:pos="9355" w:val="clear"/>
        </w:tabs>
        <w:ind/>
        <w:rPr>
          <w:sz w:val="28"/>
        </w:rPr>
      </w:pPr>
    </w:p>
    <w:p w14:paraId="2F000000">
      <w:pPr>
        <w:pStyle w:val="Style_2"/>
        <w:tabs>
          <w:tab w:leader="none" w:pos="4677" w:val="clear"/>
          <w:tab w:leader="none" w:pos="9355" w:val="clear"/>
        </w:tabs>
        <w:ind/>
        <w:rPr>
          <w:sz w:val="28"/>
        </w:rPr>
      </w:pPr>
    </w:p>
    <w:p w14:paraId="30000000">
      <w:pPr>
        <w:pStyle w:val="Style_2"/>
        <w:tabs>
          <w:tab w:leader="none" w:pos="4677" w:val="clear"/>
          <w:tab w:leader="none" w:pos="9355" w:val="clear"/>
        </w:tabs>
        <w:ind/>
        <w:rPr>
          <w:sz w:val="28"/>
        </w:rPr>
      </w:pPr>
    </w:p>
    <w:p w14:paraId="31000000">
      <w:pPr>
        <w:pStyle w:val="Style_2"/>
        <w:tabs>
          <w:tab w:leader="none" w:pos="4677" w:val="clear"/>
          <w:tab w:leader="none" w:pos="9355" w:val="clear"/>
        </w:tabs>
        <w:ind/>
        <w:rPr>
          <w:sz w:val="28"/>
        </w:rPr>
      </w:pPr>
    </w:p>
    <w:p w14:paraId="32000000">
      <w:pPr>
        <w:pStyle w:val="Style_2"/>
        <w:tabs>
          <w:tab w:leader="none" w:pos="4677" w:val="clear"/>
          <w:tab w:leader="none" w:pos="9355" w:val="clear"/>
        </w:tabs>
        <w:ind/>
        <w:rPr>
          <w:sz w:val="28"/>
        </w:rPr>
      </w:pPr>
    </w:p>
    <w:p w14:paraId="33000000">
      <w:pPr>
        <w:pStyle w:val="Style_2"/>
        <w:tabs>
          <w:tab w:leader="none" w:pos="4677" w:val="clear"/>
          <w:tab w:leader="none" w:pos="9355" w:val="clear"/>
        </w:tabs>
        <w:ind/>
        <w:rPr>
          <w:sz w:val="28"/>
        </w:rPr>
      </w:pPr>
    </w:p>
    <w:p w14:paraId="34000000">
      <w:pPr>
        <w:pStyle w:val="Style_2"/>
        <w:tabs>
          <w:tab w:leader="none" w:pos="4677" w:val="clear"/>
          <w:tab w:leader="none" w:pos="9355" w:val="clear"/>
        </w:tabs>
        <w:ind/>
        <w:rPr>
          <w:sz w:val="28"/>
        </w:rPr>
      </w:pPr>
    </w:p>
    <w:p w14:paraId="35000000">
      <w:pPr>
        <w:tabs>
          <w:tab w:leader="none" w:pos="4148" w:val="left"/>
          <w:tab w:leader="none" w:pos="9355" w:val="right"/>
        </w:tabs>
        <w:spacing w:line="360" w:lineRule="exact"/>
        <w:ind w:firstLine="709" w:left="0"/>
        <w:jc w:val="right"/>
        <w:rPr>
          <w:sz w:val="28"/>
        </w:rPr>
      </w:pPr>
      <w:r>
        <w:rPr>
          <w:sz w:val="28"/>
        </w:rPr>
        <w:t>Утвержден</w:t>
      </w:r>
    </w:p>
    <w:p w14:paraId="36000000">
      <w:pPr>
        <w:spacing w:line="360" w:lineRule="exact"/>
        <w:ind w:firstLine="709" w:left="0"/>
        <w:jc w:val="right"/>
        <w:rPr>
          <w:sz w:val="28"/>
        </w:rPr>
      </w:pPr>
      <w:r>
        <w:rPr>
          <w:sz w:val="28"/>
        </w:rPr>
        <w:t>постановлением Правительства</w:t>
      </w:r>
    </w:p>
    <w:p w14:paraId="37000000">
      <w:pPr>
        <w:spacing w:line="360" w:lineRule="exact"/>
        <w:ind w:firstLine="709" w:left="0"/>
        <w:jc w:val="right"/>
        <w:rPr>
          <w:sz w:val="28"/>
        </w:rPr>
      </w:pPr>
      <w:r>
        <w:rPr>
          <w:sz w:val="28"/>
        </w:rPr>
        <w:t>Республики Саха (Якутия)</w:t>
      </w:r>
    </w:p>
    <w:p w14:paraId="38000000">
      <w:pPr>
        <w:spacing w:line="360" w:lineRule="exact"/>
        <w:ind w:firstLine="709" w:left="0"/>
        <w:jc w:val="right"/>
        <w:rPr>
          <w:sz w:val="28"/>
        </w:rPr>
      </w:pPr>
      <w:r>
        <w:rPr>
          <w:sz w:val="28"/>
        </w:rPr>
        <w:t>от ___________ 20___  г. N ______</w:t>
      </w:r>
    </w:p>
    <w:p w14:paraId="39000000">
      <w:pPr>
        <w:spacing w:after="200" w:line="360" w:lineRule="exact"/>
        <w:ind w:firstLine="0" w:left="0"/>
        <w:rPr>
          <w:sz w:val="28"/>
        </w:rPr>
      </w:pPr>
    </w:p>
    <w:p w14:paraId="3A000000">
      <w:pPr>
        <w:spacing w:line="240" w:lineRule="auto"/>
        <w:ind w:firstLine="0" w:left="0"/>
        <w:jc w:val="center"/>
        <w:rPr>
          <w:sz w:val="28"/>
        </w:rPr>
      </w:pPr>
      <w:r>
        <w:rPr>
          <w:b w:val="0"/>
          <w:sz w:val="28"/>
        </w:rPr>
        <w:t>По</w:t>
      </w:r>
      <w:r>
        <w:rPr>
          <w:b w:val="0"/>
          <w:sz w:val="28"/>
        </w:rPr>
        <w:t>ряд</w:t>
      </w:r>
      <w:r>
        <w:rPr>
          <w:b w:val="0"/>
          <w:sz w:val="28"/>
        </w:rPr>
        <w:t>ок</w:t>
      </w:r>
    </w:p>
    <w:p w14:paraId="3B000000">
      <w:pPr>
        <w:spacing w:line="240" w:lineRule="auto"/>
        <w:ind w:firstLine="0" w:left="0"/>
        <w:jc w:val="center"/>
        <w:rPr>
          <w:sz w:val="28"/>
        </w:rPr>
      </w:pPr>
      <w:r>
        <w:rPr>
          <w:b w:val="0"/>
          <w:sz w:val="28"/>
        </w:rPr>
        <w:t>направления экономии, образовавшейся по результатам заключения муниципальных контрактов на закупку товаров, работ, услуг для обеспечения муниципальных нужд, источником обеспечения которой являются межбюджетные трансферты из государственного бюджета</w:t>
      </w:r>
      <w:r>
        <w:rPr>
          <w:b w:val="0"/>
          <w:sz w:val="28"/>
        </w:rPr>
        <w:t xml:space="preserve"> </w:t>
      </w:r>
      <w:r>
        <w:rPr>
          <w:b w:val="0"/>
          <w:sz w:val="28"/>
        </w:rPr>
        <w:t>Республики Саха</w:t>
      </w:r>
      <w:r>
        <w:rPr>
          <w:b w:val="0"/>
          <w:sz w:val="28"/>
        </w:rPr>
        <w:t> </w:t>
      </w:r>
      <w:r>
        <w:rPr>
          <w:b w:val="0"/>
          <w:sz w:val="28"/>
        </w:rPr>
        <w:t xml:space="preserve">(Якутия) </w:t>
      </w:r>
      <w:r>
        <w:rPr>
          <w:b w:val="0"/>
          <w:sz w:val="28"/>
        </w:rPr>
        <w:t>местным бюджетам, на реализацию мероприятий (результатов) муниципальных программ, обеспечивающих реализацию региональных проектов, направленных на достижение целей, показателей и реализацию мероприятий (результатов) федеральных проектов, входящих в состав национальных проектов</w:t>
      </w:r>
    </w:p>
    <w:p w14:paraId="3C000000">
      <w:pPr>
        <w:spacing w:line="240" w:lineRule="auto"/>
        <w:ind w:firstLine="0" w:left="0"/>
        <w:jc w:val="center"/>
        <w:rPr>
          <w:sz w:val="28"/>
        </w:rPr>
      </w:pPr>
    </w:p>
    <w:p w14:paraId="3D000000">
      <w:pPr>
        <w:numPr>
          <w:numId w:val="2"/>
        </w:numPr>
        <w:spacing w:after="200" w:line="360" w:lineRule="exact"/>
        <w:ind/>
        <w:jc w:val="center"/>
        <w:rPr>
          <w:b w:val="1"/>
          <w:sz w:val="28"/>
        </w:rPr>
      </w:pPr>
      <w:r>
        <w:rPr>
          <w:b w:val="1"/>
          <w:sz w:val="28"/>
        </w:rPr>
        <w:t>Общие положения</w:t>
      </w:r>
    </w:p>
    <w:p w14:paraId="3E000000">
      <w:pPr>
        <w:widowControl w:val="0"/>
        <w:ind w:firstLine="709" w:left="0"/>
        <w:jc w:val="both"/>
        <w:outlineLvl w:val="1"/>
        <w:rPr>
          <w:sz w:val="28"/>
        </w:rPr>
      </w:pPr>
      <w:r>
        <w:rPr>
          <w:sz w:val="28"/>
        </w:rPr>
        <w:t xml:space="preserve">1.1. Настоящий Порядок устанавливает </w:t>
      </w:r>
      <w:r>
        <w:rPr>
          <w:sz w:val="28"/>
        </w:rPr>
        <w:t>правила</w:t>
      </w:r>
      <w:r>
        <w:rPr>
          <w:sz w:val="28"/>
        </w:rPr>
        <w:t xml:space="preserve"> </w:t>
      </w:r>
      <w:r>
        <w:rPr>
          <w:b w:val="0"/>
          <w:sz w:val="28"/>
        </w:rPr>
        <w:t>направления экономии, образовавшейся по результатам заключения муниципальных контрактов на закупку товаров, работ, услуг для обеспечения муниципальных нужд, источником обеспечения которой являются межбюджетные трансферты из государственного бюджета</w:t>
      </w:r>
      <w:r>
        <w:rPr>
          <w:b w:val="0"/>
          <w:sz w:val="28"/>
        </w:rPr>
        <w:t xml:space="preserve"> </w:t>
      </w:r>
      <w:r>
        <w:rPr>
          <w:b w:val="0"/>
          <w:sz w:val="28"/>
        </w:rPr>
        <w:t>Республики Саха</w:t>
      </w:r>
      <w:r>
        <w:rPr>
          <w:b w:val="0"/>
          <w:sz w:val="28"/>
        </w:rPr>
        <w:t> </w:t>
      </w:r>
      <w:r>
        <w:rPr>
          <w:b w:val="0"/>
          <w:sz w:val="28"/>
        </w:rPr>
        <w:t xml:space="preserve">(Якутия) </w:t>
      </w:r>
      <w:r>
        <w:rPr>
          <w:b w:val="0"/>
          <w:sz w:val="28"/>
        </w:rPr>
        <w:t>местным бюджетам, на реализацию мероприятий (результатов) муниципальных программ, обеспечивающих реализацию региональных проектов, направленных на достижение целей, показателей и реализацию мероприятий (результатов) федеральных проектов, входящих в состав национальных проектов (далее</w:t>
      </w:r>
      <w:r>
        <w:rPr>
          <w:sz w:val="28"/>
        </w:rPr>
        <w:t xml:space="preserve"> соответственно – межбюджетные трансферты, муниципальная программа, экономия).</w:t>
      </w:r>
    </w:p>
    <w:p w14:paraId="3F000000">
      <w:pPr>
        <w:widowControl w:val="0"/>
        <w:ind w:firstLine="709" w:left="0"/>
        <w:jc w:val="both"/>
        <w:outlineLvl w:val="1"/>
        <w:rPr>
          <w:sz w:val="28"/>
        </w:rPr>
      </w:pPr>
      <w:r>
        <w:rPr>
          <w:sz w:val="28"/>
        </w:rPr>
        <w:t>1.2. Муниципальные образо</w:t>
      </w:r>
      <w:r>
        <w:rPr>
          <w:sz w:val="28"/>
        </w:rPr>
        <w:t>вания Республики Саха (Якутия)</w:t>
      </w:r>
      <w:r>
        <w:rPr>
          <w:sz w:val="28"/>
        </w:rPr>
        <w:t xml:space="preserve"> вправе использовать</w:t>
      </w:r>
      <w:r>
        <w:rPr>
          <w:sz w:val="28"/>
        </w:rPr>
        <w:t xml:space="preserve"> </w:t>
      </w:r>
      <w:r>
        <w:rPr>
          <w:sz w:val="28"/>
        </w:rPr>
        <w:t xml:space="preserve">экономию средств, образовавшуюся по результатам заключения муниципальных контрактов на закупку товаров, работ, услуг для обеспечения муниципальных нужд, за счет средств межбюджетных трансфертов, предоставляемых из </w:t>
      </w:r>
      <w:r>
        <w:rPr>
          <w:b w:val="0"/>
          <w:sz w:val="28"/>
        </w:rPr>
        <w:t>государственного бюджета</w:t>
      </w:r>
      <w:r>
        <w:rPr>
          <w:b w:val="0"/>
          <w:sz w:val="28"/>
        </w:rPr>
        <w:t xml:space="preserve"> </w:t>
      </w:r>
      <w:r>
        <w:rPr>
          <w:b w:val="0"/>
          <w:sz w:val="28"/>
        </w:rPr>
        <w:t>Республики Саха</w:t>
      </w:r>
      <w:r>
        <w:rPr>
          <w:b w:val="0"/>
          <w:sz w:val="28"/>
        </w:rPr>
        <w:t> </w:t>
      </w:r>
      <w:r>
        <w:rPr>
          <w:b w:val="0"/>
          <w:sz w:val="28"/>
        </w:rPr>
        <w:t>(Якутия)</w:t>
      </w:r>
      <w:r>
        <w:rPr>
          <w:sz w:val="28"/>
        </w:rPr>
        <w:t xml:space="preserve"> на финансовое обеспечение реализации муниципальных программ, обеспечивающих реализацию региональных проектов</w:t>
      </w:r>
      <w:r>
        <w:rPr>
          <w:b w:val="0"/>
          <w:sz w:val="28"/>
        </w:rPr>
        <w:t>, направленных на достижение целей, показателей и реализацию мероприятий (результатов) федеральных проектов, входящих в состав национальных проектов</w:t>
      </w:r>
      <w:r>
        <w:rPr>
          <w:sz w:val="28"/>
        </w:rPr>
        <w:t>.</w:t>
      </w:r>
    </w:p>
    <w:p w14:paraId="40000000">
      <w:pPr>
        <w:widowControl w:val="0"/>
        <w:ind w:firstLine="709" w:left="0"/>
        <w:jc w:val="both"/>
        <w:outlineLvl w:val="1"/>
        <w:rPr>
          <w:sz w:val="28"/>
        </w:rPr>
      </w:pPr>
      <w:r>
        <w:rPr>
          <w:sz w:val="28"/>
        </w:rPr>
        <w:t xml:space="preserve">1.3. В целях использования средств экономии </w:t>
      </w:r>
      <w:r>
        <w:rPr>
          <w:sz w:val="28"/>
        </w:rPr>
        <w:t>администрация муниципального образования</w:t>
      </w:r>
      <w:r>
        <w:rPr>
          <w:sz w:val="28"/>
        </w:rPr>
        <w:t xml:space="preserve"> Республики Саха (Якутия) представляет </w:t>
      </w:r>
      <w:r>
        <w:rPr>
          <w:sz w:val="28"/>
        </w:rPr>
        <w:t>главному распорядителю бюджетных средств Республики Саха (Якутия), до которого как до получателя средств государственного бюджета Республики Саха (Якутия) доведены лимиты бюджетных обязательств на предоставление межбюджетного трансферта,</w:t>
      </w:r>
      <w:r>
        <w:rPr>
          <w:sz w:val="28"/>
        </w:rPr>
        <w:t xml:space="preserve"> </w:t>
      </w:r>
      <w:r>
        <w:rPr>
          <w:sz w:val="28"/>
        </w:rPr>
        <w:t xml:space="preserve">предложение о заключении дополнительного соглашения к ранее заключенным соглашениям </w:t>
      </w:r>
      <w:r>
        <w:rPr>
          <w:sz w:val="28"/>
        </w:rPr>
        <w:t>о предоставлении межбюджетного трансферта (далее соответственно – главный распорядитель, предложение, соглашение) в установленные соглашением сроки,</w:t>
      </w:r>
      <w:r>
        <w:rPr>
          <w:sz w:val="28"/>
        </w:rPr>
        <w:t xml:space="preserve"> но не реже 1 раза в квартал.</w:t>
      </w:r>
    </w:p>
    <w:p w14:paraId="41000000">
      <w:pPr>
        <w:widowControl w:val="0"/>
        <w:ind w:firstLine="709" w:left="0"/>
        <w:jc w:val="both"/>
        <w:outlineLvl w:val="1"/>
        <w:rPr>
          <w:sz w:val="28"/>
        </w:rPr>
      </w:pPr>
    </w:p>
    <w:p w14:paraId="42000000">
      <w:pPr>
        <w:widowControl w:val="0"/>
        <w:spacing w:after="0"/>
        <w:ind w:firstLine="357" w:left="0"/>
        <w:jc w:val="center"/>
        <w:outlineLvl w:val="1"/>
        <w:rPr>
          <w:sz w:val="28"/>
        </w:rPr>
      </w:pPr>
      <w:r>
        <w:rPr>
          <w:b w:val="1"/>
          <w:sz w:val="28"/>
        </w:rPr>
        <w:t>II.    Основные положения и обязательные условия предложения</w:t>
      </w:r>
    </w:p>
    <w:p w14:paraId="43000000">
      <w:pPr>
        <w:widowControl w:val="0"/>
        <w:spacing w:after="198"/>
        <w:ind w:firstLine="357" w:left="0"/>
        <w:jc w:val="center"/>
        <w:outlineLvl w:val="1"/>
        <w:rPr>
          <w:sz w:val="28"/>
        </w:rPr>
      </w:pPr>
      <w:r>
        <w:rPr>
          <w:b w:val="1"/>
          <w:sz w:val="28"/>
        </w:rPr>
        <w:t>при направлении экономии</w:t>
      </w:r>
    </w:p>
    <w:p w14:paraId="44000000">
      <w:pPr>
        <w:widowControl w:val="0"/>
        <w:ind w:firstLine="709" w:left="0"/>
        <w:jc w:val="both"/>
        <w:outlineLvl w:val="1"/>
        <w:rPr>
          <w:sz w:val="28"/>
        </w:rPr>
      </w:pPr>
      <w:r>
        <w:rPr>
          <w:sz w:val="28"/>
        </w:rPr>
        <w:t xml:space="preserve">2.1. В случае направления экономии на финансовое обеспечение </w:t>
      </w:r>
      <w:r>
        <w:rPr>
          <w:sz w:val="28"/>
        </w:rPr>
        <w:t>реализации мероприятия (результата) муниципальной программы, в рамках реализации кот</w:t>
      </w:r>
      <w:r>
        <w:rPr>
          <w:sz w:val="28"/>
        </w:rPr>
        <w:t xml:space="preserve">орого образовалась экономия, предложение должно содержать обязательное условие </w:t>
      </w:r>
      <w:r>
        <w:rPr>
          <w:sz w:val="28"/>
        </w:rPr>
        <w:t>об увеличении предусмотренных соглашением значений результатов предоставления межбюджетного трансферта исходя из размера экономии.</w:t>
      </w:r>
    </w:p>
    <w:p w14:paraId="45000000">
      <w:pPr>
        <w:widowControl w:val="0"/>
        <w:spacing w:before="0"/>
        <w:ind w:firstLine="709" w:left="0"/>
        <w:jc w:val="both"/>
        <w:outlineLvl w:val="1"/>
        <w:rPr>
          <w:sz w:val="28"/>
        </w:rPr>
      </w:pPr>
      <w:r>
        <w:rPr>
          <w:sz w:val="28"/>
        </w:rPr>
        <w:t xml:space="preserve">2.2. В случае направления экономии на финансовое обеспечение </w:t>
      </w:r>
      <w:r>
        <w:rPr>
          <w:sz w:val="28"/>
        </w:rPr>
        <w:t>реализации мероприятия (результата) муниципальной программы, в рамках реализации кот</w:t>
      </w:r>
      <w:r>
        <w:rPr>
          <w:sz w:val="28"/>
        </w:rPr>
        <w:t xml:space="preserve">орого не образовалась экономия (далее – иное мероприятие), </w:t>
      </w:r>
      <w:r>
        <w:rPr>
          <w:sz w:val="28"/>
        </w:rPr>
        <w:t xml:space="preserve">предложение должно </w:t>
      </w:r>
      <w:r>
        <w:rPr>
          <w:sz w:val="28"/>
        </w:rPr>
        <w:t>содержать следующие обязательные условия:</w:t>
      </w:r>
    </w:p>
    <w:p w14:paraId="46000000">
      <w:pPr>
        <w:widowControl w:val="0"/>
        <w:spacing w:before="0"/>
        <w:ind w:firstLine="709" w:left="0"/>
        <w:jc w:val="both"/>
        <w:rPr>
          <w:sz w:val="28"/>
        </w:rPr>
      </w:pPr>
      <w:r>
        <w:rPr>
          <w:sz w:val="28"/>
        </w:rPr>
        <w:t xml:space="preserve">а) об увеличении </w:t>
      </w:r>
      <w:r>
        <w:rPr>
          <w:sz w:val="28"/>
        </w:rPr>
        <w:t xml:space="preserve">значений результатов </w:t>
      </w:r>
      <w:r>
        <w:rPr>
          <w:sz w:val="28"/>
        </w:rPr>
        <w:t xml:space="preserve">предоставления межбюджетного трансферта, </w:t>
      </w:r>
      <w:r>
        <w:rPr>
          <w:sz w:val="28"/>
        </w:rPr>
        <w:t>предусмотренных соглашением, исходя из размера средств экономии;</w:t>
      </w:r>
    </w:p>
    <w:p w14:paraId="47000000">
      <w:pPr>
        <w:widowControl w:val="0"/>
        <w:spacing w:before="0"/>
        <w:ind w:firstLine="709" w:left="0"/>
        <w:jc w:val="both"/>
        <w:rPr>
          <w:sz w:val="28"/>
        </w:rPr>
      </w:pPr>
      <w:r>
        <w:rPr>
          <w:sz w:val="28"/>
        </w:rPr>
        <w:t xml:space="preserve">б) об уменьшении объема бюджетных ассигнований на финансовое обеспечение софинансируемого из </w:t>
      </w:r>
      <w:r>
        <w:rPr>
          <w:sz w:val="28"/>
        </w:rPr>
        <w:t>государственного бюджета Республики Саха (Якутия)</w:t>
      </w:r>
      <w:r>
        <w:rPr>
          <w:sz w:val="28"/>
        </w:rPr>
        <w:t xml:space="preserve"> расходного обязательства муниципального образования </w:t>
      </w:r>
      <w:r>
        <w:rPr>
          <w:sz w:val="28"/>
        </w:rPr>
        <w:t>Республики Саха (Якутия)</w:t>
      </w:r>
      <w:r>
        <w:rPr>
          <w:sz w:val="28"/>
        </w:rPr>
        <w:t>, возникающего из муниципального контракта, по результатам заключения которого образовалась экономия;</w:t>
      </w:r>
    </w:p>
    <w:p w14:paraId="48000000">
      <w:pPr>
        <w:widowControl w:val="0"/>
        <w:spacing w:before="0"/>
        <w:ind w:firstLine="709" w:left="0"/>
        <w:jc w:val="both"/>
      </w:pPr>
      <w:r>
        <w:rPr>
          <w:sz w:val="28"/>
        </w:rPr>
        <w:t xml:space="preserve">в) об увеличении объема бюджетных ассигнований на финансовое обеспечение расходного обязательства муниципального образования </w:t>
      </w:r>
      <w:r>
        <w:rPr>
          <w:sz w:val="28"/>
        </w:rPr>
        <w:t>Республики Саха (Якутия)</w:t>
      </w:r>
      <w:r>
        <w:rPr>
          <w:sz w:val="28"/>
        </w:rPr>
        <w:t xml:space="preserve">, принятого в целях реализации мероприятия </w:t>
      </w:r>
      <w:r>
        <w:rPr>
          <w:sz w:val="28"/>
        </w:rPr>
        <w:t>(результата) муниципальной программы</w:t>
      </w:r>
      <w:r>
        <w:rPr>
          <w:sz w:val="28"/>
        </w:rPr>
        <w:t>, а также о соответствующих изменениях размеров межбюджетных транс</w:t>
      </w:r>
      <w:r>
        <w:rPr>
          <w:sz w:val="28"/>
        </w:rPr>
        <w:t>фертов в размере экономии пропорционально уровню софинансирования, установленному соглашением.</w:t>
      </w:r>
    </w:p>
    <w:p w14:paraId="49000000">
      <w:pPr>
        <w:widowControl w:val="0"/>
        <w:spacing w:before="0"/>
        <w:ind w:firstLine="680" w:left="0"/>
        <w:jc w:val="both"/>
        <w:outlineLvl w:val="1"/>
        <w:rPr>
          <w:sz w:val="28"/>
        </w:rPr>
      </w:pPr>
      <w:r>
        <w:rPr>
          <w:sz w:val="28"/>
        </w:rPr>
        <w:t xml:space="preserve">2.3. В случае, если размер экономии </w:t>
      </w:r>
      <w:r>
        <w:rPr>
          <w:sz w:val="28"/>
        </w:rPr>
        <w:t xml:space="preserve">не превышает 5 процентов размера межбюджетного трансферта, являющегося источником софинансирования муниципального контракта, по результатам заключения которого возникла экономия, направление экономии </w:t>
      </w:r>
      <w:r>
        <w:rPr>
          <w:sz w:val="28"/>
        </w:rPr>
        <w:t xml:space="preserve">на финансовое обеспечение реализации мероприятий (результатов) муниципальных программ осуществляется без </w:t>
      </w:r>
      <w:r>
        <w:rPr>
          <w:sz w:val="28"/>
        </w:rPr>
        <w:t xml:space="preserve">увеличения значений результатов предоставления межбюджетного трансферта, предусмотренных соглашением, при условии представления администрацией муниципального </w:t>
      </w:r>
      <w:r>
        <w:rPr>
          <w:sz w:val="28"/>
        </w:rPr>
        <w:t>образования Республики Саха (Якутия) гла</w:t>
      </w:r>
      <w:r>
        <w:rPr>
          <w:sz w:val="28"/>
        </w:rPr>
        <w:t xml:space="preserve">вному распорядителю </w:t>
      </w:r>
      <w:r>
        <w:rPr>
          <w:sz w:val="28"/>
        </w:rPr>
        <w:t>бюджетных средств Республики Саха (Якутия):</w:t>
      </w:r>
    </w:p>
    <w:p w14:paraId="4A000000">
      <w:pPr>
        <w:widowControl w:val="0"/>
        <w:numPr>
          <w:numId w:val="3"/>
        </w:numPr>
        <w:spacing w:before="0"/>
        <w:ind w:firstLine="709" w:left="0"/>
        <w:jc w:val="both"/>
        <w:rPr>
          <w:sz w:val="28"/>
        </w:rPr>
      </w:pPr>
      <w:r>
        <w:rPr>
          <w:sz w:val="28"/>
        </w:rPr>
        <w:t>информации о размере экономии и предложений с обоснованиями использования экономии - в целях использования экономии на финансовое обеспечение реализации мероприятий (результатов) муниципальной программы, в рамках реализации которых образовалась экономия;</w:t>
      </w:r>
    </w:p>
    <w:p w14:paraId="4B000000">
      <w:pPr>
        <w:widowControl w:val="0"/>
        <w:numPr>
          <w:numId w:val="3"/>
        </w:numPr>
        <w:spacing w:before="0"/>
        <w:ind w:firstLine="709" w:left="0"/>
        <w:jc w:val="both"/>
        <w:rPr>
          <w:color w:val="000000"/>
          <w:sz w:val="28"/>
        </w:rPr>
      </w:pPr>
      <w:r>
        <w:rPr>
          <w:sz w:val="28"/>
        </w:rPr>
        <w:t>предложений, предусматривающих условия, указа</w:t>
      </w:r>
      <w:r>
        <w:rPr>
          <w:color w:val="000000"/>
          <w:sz w:val="28"/>
        </w:rPr>
        <w:t>нны</w:t>
      </w:r>
      <w:r>
        <w:rPr>
          <w:color w:val="000000"/>
          <w:sz w:val="28"/>
        </w:rPr>
        <w:t xml:space="preserve">е в </w:t>
      </w:r>
      <w:r>
        <w:rPr>
          <w:color w:val="000000"/>
          <w:sz w:val="28"/>
        </w:rPr>
        <w:t>по</w:t>
      </w:r>
      <w:r>
        <w:rPr>
          <w:color w:val="000000"/>
          <w:sz w:val="28"/>
        </w:rPr>
        <w:t>дпунктах "б"</w:t>
      </w:r>
      <w:r>
        <w:rPr>
          <w:color w:val="000000"/>
          <w:sz w:val="28"/>
        </w:rPr>
        <w:t xml:space="preserve"> и </w:t>
      </w:r>
      <w:r>
        <w:rPr>
          <w:color w:val="000000"/>
          <w:sz w:val="28"/>
        </w:rPr>
        <w:t>"в" пункта 2.2</w:t>
      </w:r>
      <w:r>
        <w:rPr>
          <w:color w:val="000000"/>
          <w:sz w:val="28"/>
        </w:rPr>
        <w:t xml:space="preserve"> на</w:t>
      </w:r>
      <w:r>
        <w:rPr>
          <w:color w:val="000000"/>
          <w:sz w:val="28"/>
        </w:rPr>
        <w:t>стоя</w:t>
      </w:r>
      <w:r>
        <w:rPr>
          <w:color w:val="000000"/>
          <w:sz w:val="28"/>
        </w:rPr>
        <w:t xml:space="preserve">щего Порядка, - в целях использования экономии на </w:t>
      </w:r>
      <w:r>
        <w:rPr>
          <w:color w:val="000000"/>
          <w:sz w:val="28"/>
        </w:rPr>
        <w:t xml:space="preserve">финансовое обеспечение реализации иных мероприятий, </w:t>
      </w:r>
      <w:r>
        <w:rPr>
          <w:sz w:val="28"/>
        </w:rPr>
        <w:t>в установленные соглашением сроки</w:t>
      </w:r>
      <w:r>
        <w:rPr>
          <w:color w:val="000000"/>
          <w:sz w:val="28"/>
        </w:rPr>
        <w:t>.</w:t>
      </w:r>
    </w:p>
    <w:p w14:paraId="4C000000">
      <w:pPr>
        <w:widowControl w:val="0"/>
        <w:spacing w:before="0"/>
        <w:ind w:firstLine="709" w:left="0"/>
        <w:jc w:val="both"/>
        <w:rPr>
          <w:color w:val="000000"/>
          <w:sz w:val="28"/>
        </w:rPr>
      </w:pPr>
      <w:r>
        <w:rPr>
          <w:sz w:val="28"/>
        </w:rPr>
        <w:t xml:space="preserve">2.4. Главные распорядители бюджетных средств Республики Саха (Якутия) при </w:t>
      </w:r>
      <w:r>
        <w:rPr>
          <w:sz w:val="28"/>
        </w:rPr>
        <w:t>наличии предложения администрации муниципального образования Республики Саха (Якутия)</w:t>
      </w:r>
      <w:r>
        <w:rPr>
          <w:sz w:val="28"/>
        </w:rPr>
        <w:t>:</w:t>
      </w:r>
    </w:p>
    <w:p w14:paraId="4D000000">
      <w:pPr>
        <w:widowControl w:val="0"/>
        <w:spacing w:before="0"/>
        <w:ind w:firstLine="709" w:left="0"/>
        <w:jc w:val="both"/>
        <w:rPr>
          <w:color w:val="000000"/>
          <w:sz w:val="28"/>
        </w:rPr>
      </w:pPr>
      <w:r>
        <w:rPr>
          <w:sz w:val="28"/>
        </w:rPr>
        <w:t xml:space="preserve">не позднее 15-го рабочего дня со дня получения от администрации муниципального образования Республики Саха (Якутия) предложений заключают </w:t>
      </w:r>
      <w:r>
        <w:rPr>
          <w:sz w:val="28"/>
        </w:rPr>
        <w:t>дополнительные соглашения к ранее заключенным соглашениям, указанн</w:t>
      </w:r>
      <w:r>
        <w:rPr>
          <w:color w:val="000000"/>
          <w:sz w:val="28"/>
        </w:rPr>
        <w:t>ым в пункте 2 настоящего Порядка;</w:t>
      </w:r>
    </w:p>
    <w:p w14:paraId="4E000000">
      <w:pPr>
        <w:widowControl w:val="0"/>
        <w:spacing w:before="0"/>
        <w:ind w:firstLine="709" w:left="0"/>
        <w:jc w:val="both"/>
        <w:rPr>
          <w:color w:val="000000"/>
          <w:sz w:val="28"/>
          <w:shd w:fill="FFD821" w:val="clear"/>
        </w:rPr>
      </w:pPr>
      <w:r>
        <w:rPr>
          <w:color w:val="000000"/>
          <w:sz w:val="28"/>
        </w:rPr>
        <w:t>не реже 1 раза в квартал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обеспечивают формировани</w:t>
      </w:r>
      <w:r>
        <w:rPr>
          <w:color w:val="000000"/>
          <w:sz w:val="28"/>
        </w:rPr>
        <w:t>е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документов</w:t>
      </w:r>
      <w:r>
        <w:rPr>
          <w:color w:val="000000"/>
          <w:sz w:val="28"/>
        </w:rPr>
        <w:t xml:space="preserve"> </w:t>
      </w:r>
      <w:r>
        <w:rPr>
          <w:sz w:val="28"/>
        </w:rPr>
        <w:t>дл</w:t>
      </w:r>
      <w:r>
        <w:rPr>
          <w:sz w:val="28"/>
        </w:rPr>
        <w:t>я</w:t>
      </w:r>
      <w:r>
        <w:rPr>
          <w:sz w:val="28"/>
        </w:rPr>
        <w:t xml:space="preserve"> внесения изменений в сводную бюджетную роспись</w:t>
      </w:r>
      <w:r>
        <w:rPr>
          <w:sz w:val="28"/>
        </w:rPr>
        <w:t xml:space="preserve"> государственного бюджета Республики Саха (Якутия)</w:t>
      </w:r>
      <w:r>
        <w:rPr>
          <w:sz w:val="28"/>
        </w:rPr>
        <w:t xml:space="preserve"> и лимитов бюджетных обязательств </w:t>
      </w:r>
      <w:r>
        <w:rPr>
          <w:sz w:val="28"/>
        </w:rPr>
        <w:t xml:space="preserve">в соответствии с Законом Республики Саха (Якутия) «О бюджетном устройстве и бюджетном процессе в Республике Саха (Якутия)» </w:t>
      </w:r>
      <w:r>
        <w:rPr>
          <w:sz w:val="28"/>
        </w:rPr>
        <w:t>(в слу</w:t>
      </w:r>
      <w:r>
        <w:rPr>
          <w:sz w:val="28"/>
        </w:rPr>
        <w:t>чае использования экономии на финансовое обеспечение реализации мероприятия, отличного от мероприятия (результата) муниципальной программы, в рамках реализации которого образовалась экономия);</w:t>
      </w:r>
    </w:p>
    <w:p w14:paraId="4F000000">
      <w:pPr>
        <w:widowControl w:val="0"/>
        <w:spacing w:before="0"/>
        <w:ind w:firstLine="709" w:left="0"/>
        <w:jc w:val="both"/>
        <w:rPr>
          <w:color w:val="000000"/>
          <w:sz w:val="28"/>
          <w:shd w:fill="FFD821" w:val="clear"/>
        </w:rPr>
      </w:pPr>
      <w:r>
        <w:rPr>
          <w:color w:val="000000"/>
          <w:sz w:val="28"/>
        </w:rPr>
        <w:t>не реже 1</w:t>
      </w:r>
      <w:r>
        <w:rPr>
          <w:color w:val="000000"/>
          <w:sz w:val="28"/>
        </w:rPr>
        <w:t xml:space="preserve"> раза в квартал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обеспечивают формировани</w:t>
      </w:r>
      <w:r>
        <w:rPr>
          <w:color w:val="000000"/>
          <w:sz w:val="28"/>
        </w:rPr>
        <w:t>е</w:t>
      </w:r>
      <w:r>
        <w:rPr>
          <w:color w:val="000000"/>
          <w:sz w:val="28"/>
        </w:rPr>
        <w:t xml:space="preserve"> изменени</w:t>
      </w:r>
      <w:r>
        <w:rPr>
          <w:sz w:val="28"/>
        </w:rPr>
        <w:t xml:space="preserve">й, обусловленных сложившейся экономией, в государственную программу (муниципальную программу) </w:t>
      </w:r>
      <w:r>
        <w:rPr>
          <w:sz w:val="28"/>
        </w:rPr>
        <w:t xml:space="preserve">Республики Саха (Якутия) </w:t>
      </w:r>
      <w:r>
        <w:rPr>
          <w:sz w:val="28"/>
        </w:rPr>
        <w:t>и (или) ее структурный элемент в порядке, установленном Правительством Республики Саха (Якутия) (администрацией муниципального образования</w:t>
      </w:r>
      <w:r>
        <w:rPr>
          <w:color w:val="000000"/>
          <w:sz w:val="28"/>
        </w:rPr>
        <w:t xml:space="preserve"> Республики Саха (Якутия)).</w:t>
      </w:r>
    </w:p>
    <w:p w14:paraId="50000000">
      <w:pPr>
        <w:widowControl w:val="0"/>
        <w:spacing w:before="0"/>
        <w:ind w:firstLine="709" w:left="0"/>
        <w:jc w:val="both"/>
        <w:rPr>
          <w:color w:val="000000"/>
          <w:sz w:val="28"/>
          <w:shd w:fill="FFD821" w:val="clear"/>
        </w:rPr>
      </w:pPr>
      <w:r>
        <w:rPr>
          <w:sz w:val="28"/>
        </w:rPr>
        <w:t>2.5. Средства</w:t>
      </w:r>
      <w:r>
        <w:rPr>
          <w:sz w:val="28"/>
        </w:rPr>
        <w:t xml:space="preserve"> экономии не учитываются при определении размера субсидий (иных межбюджетных трансфертов) в соответствии с Порядками (Методиками) предоставления и распределения субсидий (иных межбюджетных трансфертов) из государственного бюджета Республики Саха (Якутия) между муниципальными образованиями Республики Саха (Якутия).</w:t>
      </w:r>
    </w:p>
    <w:p w14:paraId="51000000">
      <w:pPr>
        <w:widowControl w:val="0"/>
        <w:ind w:firstLine="709" w:left="0"/>
        <w:jc w:val="both"/>
        <w:outlineLvl w:val="1"/>
        <w:rPr>
          <w:sz w:val="28"/>
        </w:rPr>
      </w:pPr>
    </w:p>
    <w:p w14:paraId="52000000">
      <w:pPr>
        <w:pStyle w:val="Style_2"/>
        <w:tabs>
          <w:tab w:leader="none" w:pos="4677" w:val="clear"/>
          <w:tab w:leader="none" w:pos="9355" w:val="clear"/>
        </w:tabs>
        <w:ind/>
        <w:rPr>
          <w:sz w:val="28"/>
        </w:rPr>
      </w:pPr>
    </w:p>
    <w:sectPr>
      <w:headerReference r:id="rId1" w:type="default"/>
      <w:footerReference r:id="rId2" w:type="default"/>
      <w:pgSz w:h="16838" w:orient="portrait" w:w="11906"/>
      <w:pgMar w:bottom="1418" w:footer="1156" w:gutter="0" w:header="851" w:left="1701" w:right="849" w:top="1276"/>
      <w:pgNumType w:start="1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2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3000000">
    <w:pPr>
      <w:pStyle w:val="Style_2"/>
      <w:tabs>
        <w:tab w:leader="none" w:pos="4677" w:val="clear"/>
        <w:tab w:leader="none" w:pos="9355" w:val="clear"/>
      </w:tabs>
      <w:ind/>
    </w:pPr>
  </w:p>
</w:ftr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ind/>
      <w:jc w:val="center"/>
    </w:pPr>
    <w:r>
      <w:rPr>
        <w:rStyle w:val="Style_1_ch"/>
      </w:rPr>
      <w:fldChar w:fldCharType="begin"/>
    </w:r>
    <w:r>
      <w:rPr>
        <w:rStyle w:val="Style_1_ch"/>
      </w:rPr>
      <w:instrText xml:space="preserve">PAGE </w:instrText>
    </w:r>
    <w:r>
      <w:rPr>
        <w:rStyle w:val="Style_1_ch"/>
      </w:rPr>
      <w:fldChar w:fldCharType="separate"/>
    </w:r>
    <w:r>
      <w:rPr>
        <w:rStyle w:val="Style_1_ch"/>
      </w:rPr>
      <w:t xml:space="preserve"> </w:t>
    </w:r>
    <w:r>
      <w:rPr>
        <w:rStyle w:val="Style_1_ch"/>
      </w:rPr>
      <w:fldChar w:fldCharType="end"/>
    </w:r>
  </w:p>
  <w:p w14:paraId="02000000">
    <w:pPr>
      <w:pStyle w:val="Style_2"/>
    </w:pPr>
  </w:p>
</w:hd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pPr>
        <w:ind w:hanging="360" w:left="720"/>
      </w:pPr>
    </w:lvl>
    <w:lvl w:ilvl="1">
      <w:start w:val="1"/>
      <w:numFmt w:val="lowerLetter"/>
      <w:lvlText w:val="%2.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360" w:left="2160"/>
      </w:pPr>
    </w:lvl>
    <w:lvl w:ilvl="3">
      <w:start w:val="1"/>
      <w:numFmt w:val="decimal"/>
      <w:lvlText w:val="%4."/>
      <w:pPr>
        <w:ind w:hanging="360" w:left="2880"/>
      </w:pPr>
    </w:lvl>
    <w:lvl w:ilvl="4">
      <w:start w:val="1"/>
      <w:numFmt w:val="lowerLetter"/>
      <w:lvlText w:val="%5.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360" w:left="4320"/>
      </w:pPr>
    </w:lvl>
    <w:lvl w:ilvl="6">
      <w:start w:val="1"/>
      <w:numFmt w:val="decimal"/>
      <w:lvlText w:val="%7."/>
      <w:pPr>
        <w:ind w:hanging="360" w:left="5040"/>
      </w:pPr>
    </w:lvl>
    <w:lvl w:ilvl="7">
      <w:start w:val="1"/>
      <w:numFmt w:val="lowerLetter"/>
      <w:lvlText w:val="%8.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abstractNum w:abstractNumId="1">
    <w:lvl w:ilvl="0">
      <w:start w:val="1"/>
      <w:numFmt w:val="upperRoman"/>
      <w:lvlText w:val="%1."/>
      <w:lvlJc w:val="right"/>
      <w:pPr>
        <w:ind w:hanging="360" w:left="720"/>
      </w:pPr>
    </w:lvl>
    <w:lvl w:ilvl="1">
      <w:start w:val="1"/>
      <w:numFmt w:val="lowerLetter"/>
      <w:lvlText w:val="%2."/>
      <w:pPr>
        <w:ind w:hanging="360" w:left="1440"/>
      </w:pPr>
    </w:lvl>
    <w:lvl w:ilvl="2">
      <w:start w:val="1"/>
      <w:numFmt w:val="decimal"/>
      <w:lvlText w:val="%3."/>
      <w:pPr>
        <w:ind w:hanging="360" w:left="2160"/>
      </w:pPr>
    </w:lvl>
    <w:lvl w:ilvl="3">
      <w:start w:val="1"/>
      <w:numFmt w:val="upperRoman"/>
      <w:lvlText w:val="%4."/>
      <w:lvlJc w:val="right"/>
      <w:pPr>
        <w:ind w:hanging="360" w:left="2880"/>
      </w:pPr>
    </w:lvl>
    <w:lvl w:ilvl="4">
      <w:start w:val="1"/>
      <w:numFmt w:val="lowerLetter"/>
      <w:lvlText w:val="%5."/>
      <w:pPr>
        <w:ind w:hanging="360" w:left="3600"/>
      </w:pPr>
    </w:lvl>
    <w:lvl w:ilvl="5">
      <w:start w:val="1"/>
      <w:numFmt w:val="decimal"/>
      <w:lvlText w:val="%6."/>
      <w:pPr>
        <w:ind w:hanging="360" w:left="4320"/>
      </w:pPr>
    </w:lvl>
    <w:lvl w:ilvl="6">
      <w:start w:val="1"/>
      <w:numFmt w:val="upperRoman"/>
      <w:lvlText w:val="%7."/>
      <w:lvlJc w:val="right"/>
      <w:pPr>
        <w:ind w:hanging="360" w:left="5040"/>
      </w:pPr>
    </w:lvl>
    <w:lvl w:ilvl="7">
      <w:start w:val="1"/>
      <w:numFmt w:val="lowerLetter"/>
      <w:lvlText w:val="%8."/>
      <w:pPr>
        <w:ind w:hanging="360" w:left="5760"/>
      </w:pPr>
    </w:lvl>
    <w:lvl w:ilvl="8">
      <w:start w:val="1"/>
      <w:numFmt w:val="decimal"/>
      <w:lvlText w:val="%9."/>
      <w:pPr>
        <w:ind w:hanging="360" w:left="6480"/>
      </w:pPr>
    </w:lvl>
  </w:abstractNum>
  <w:abstractNum w:abstractNumId="2">
    <w:lvl w:ilvl="0">
      <w:start w:val="1"/>
      <w:numFmt w:val="russianLower"/>
      <w:lvlText w:val="%1)"/>
      <w:pPr>
        <w:ind w:hanging="360" w:left="720"/>
      </w:pPr>
    </w:lvl>
    <w:lvl w:ilvl="1">
      <w:start w:val="1"/>
      <w:numFmt w:val="decimal"/>
      <w:lvlText w:val="%2)"/>
      <w:pPr>
        <w:ind w:hanging="360" w:left="1440"/>
      </w:pPr>
    </w:lvl>
    <w:lvl w:ilvl="2">
      <w:start w:val="1"/>
      <w:numFmt w:val="lowerRoman"/>
      <w:lvlText w:val="%3)"/>
      <w:lvlJc w:val="right"/>
      <w:pPr>
        <w:ind w:hanging="360" w:left="2160"/>
      </w:pPr>
    </w:lvl>
    <w:lvl w:ilvl="3">
      <w:start w:val="1"/>
      <w:numFmt w:val="russianLower"/>
      <w:lvlText w:val="%4)"/>
      <w:pPr>
        <w:ind w:hanging="360" w:left="2880"/>
      </w:pPr>
    </w:lvl>
    <w:lvl w:ilvl="4">
      <w:start w:val="1"/>
      <w:numFmt w:val="decimal"/>
      <w:lvlText w:val="%5)"/>
      <w:pPr>
        <w:ind w:hanging="360" w:left="3600"/>
      </w:pPr>
    </w:lvl>
    <w:lvl w:ilvl="5">
      <w:start w:val="1"/>
      <w:numFmt w:val="lowerRoman"/>
      <w:lvlText w:val="%6)"/>
      <w:lvlJc w:val="right"/>
      <w:pPr>
        <w:ind w:hanging="360" w:left="4320"/>
      </w:pPr>
    </w:lvl>
    <w:lvl w:ilvl="6">
      <w:start w:val="1"/>
      <w:numFmt w:val="russianLower"/>
      <w:lvlText w:val="%7)"/>
      <w:pPr>
        <w:ind w:hanging="360" w:left="5040"/>
      </w:pPr>
    </w:lvl>
    <w:lvl w:ilvl="7">
      <w:start w:val="1"/>
      <w:numFmt w:val="decimal"/>
      <w:lvlText w:val="%8)"/>
      <w:pPr>
        <w:ind w:hanging="360" w:left="5760"/>
      </w:pPr>
    </w:lvl>
    <w:lvl w:ilvl="8">
      <w:start w:val="1"/>
      <w:numFmt w:val="lowerRoman"/>
      <w:lvlText w:val="%9)"/>
      <w:lvlJc w:val="right"/>
      <w:pPr>
        <w:ind w:hanging="360" w:left="6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6" w:type="paragraph">
    <w:name w:val="Normal"/>
    <w:link w:val="Style_6_ch"/>
    <w:uiPriority w:val="0"/>
    <w:qFormat/>
  </w:style>
  <w:style w:default="1" w:styleId="Style_6_ch" w:type="character">
    <w:name w:val="Normal"/>
    <w:link w:val="Style_6"/>
  </w:style>
  <w:style w:styleId="Style_7" w:type="paragraph">
    <w:name w:val="toc 2"/>
    <w:next w:val="Style_6"/>
    <w:link w:val="Style_7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7_ch" w:type="character">
    <w:name w:val="toc 2"/>
    <w:link w:val="Style_7"/>
    <w:rPr>
      <w:rFonts w:ascii="XO Thames" w:hAnsi="XO Thames"/>
      <w:sz w:val="28"/>
    </w:rPr>
  </w:style>
  <w:style w:styleId="Style_3" w:type="paragraph">
    <w:name w:val="List Paragraph"/>
    <w:basedOn w:val="Style_6"/>
    <w:link w:val="Style_3_ch"/>
    <w:pPr>
      <w:ind w:firstLine="0" w:left="720"/>
      <w:contextualSpacing w:val="1"/>
    </w:pPr>
  </w:style>
  <w:style w:styleId="Style_3_ch" w:type="character">
    <w:name w:val="List Paragraph"/>
    <w:basedOn w:val="Style_6_ch"/>
    <w:link w:val="Style_3"/>
  </w:style>
  <w:style w:styleId="Style_8" w:type="paragraph">
    <w:name w:val="toc 4"/>
    <w:next w:val="Style_6"/>
    <w:link w:val="Style_8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8_ch" w:type="character">
    <w:name w:val="toc 4"/>
    <w:link w:val="Style_8"/>
    <w:rPr>
      <w:rFonts w:ascii="XO Thames" w:hAnsi="XO Thames"/>
      <w:sz w:val="28"/>
    </w:rPr>
  </w:style>
  <w:style w:styleId="Style_2" w:type="paragraph">
    <w:name w:val="header"/>
    <w:basedOn w:val="Style_6"/>
    <w:link w:val="Style_2_ch"/>
    <w:pPr>
      <w:tabs>
        <w:tab w:leader="none" w:pos="4677" w:val="center"/>
        <w:tab w:leader="none" w:pos="9355" w:val="right"/>
      </w:tabs>
      <w:ind/>
    </w:pPr>
  </w:style>
  <w:style w:styleId="Style_2_ch" w:type="character">
    <w:name w:val="header"/>
    <w:basedOn w:val="Style_6_ch"/>
    <w:link w:val="Style_2"/>
  </w:style>
  <w:style w:styleId="Style_9" w:type="paragraph">
    <w:name w:val="toc 6"/>
    <w:next w:val="Style_6"/>
    <w:link w:val="Style_9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9_ch" w:type="character">
    <w:name w:val="toc 6"/>
    <w:link w:val="Style_9"/>
    <w:rPr>
      <w:rFonts w:ascii="XO Thames" w:hAnsi="XO Thames"/>
      <w:sz w:val="28"/>
    </w:rPr>
  </w:style>
  <w:style w:styleId="Style_10" w:type="paragraph">
    <w:name w:val="toc 7"/>
    <w:next w:val="Style_6"/>
    <w:link w:val="Style_10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0_ch" w:type="character">
    <w:name w:val="toc 7"/>
    <w:link w:val="Style_10"/>
    <w:rPr>
      <w:rFonts w:ascii="XO Thames" w:hAnsi="XO Thames"/>
      <w:sz w:val="28"/>
    </w:rPr>
  </w:style>
  <w:style w:styleId="Style_11" w:type="paragraph">
    <w:name w:val="Body Text 2"/>
    <w:basedOn w:val="Style_6"/>
    <w:link w:val="Style_11_ch"/>
    <w:pPr>
      <w:spacing w:after="120" w:line="480" w:lineRule="auto"/>
      <w:ind/>
    </w:pPr>
  </w:style>
  <w:style w:styleId="Style_11_ch" w:type="character">
    <w:name w:val="Body Text 2"/>
    <w:basedOn w:val="Style_6_ch"/>
    <w:link w:val="Style_11"/>
  </w:style>
  <w:style w:styleId="Style_12" w:type="paragraph">
    <w:name w:val="End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Endnote"/>
    <w:link w:val="Style_12"/>
    <w:rPr>
      <w:rFonts w:ascii="XO Thames" w:hAnsi="XO Thames"/>
      <w:sz w:val="22"/>
    </w:rPr>
  </w:style>
  <w:style w:styleId="Style_13" w:type="paragraph">
    <w:name w:val="heading 3"/>
    <w:basedOn w:val="Style_6"/>
    <w:next w:val="Style_6"/>
    <w:link w:val="Style_13_ch"/>
    <w:uiPriority w:val="9"/>
    <w:qFormat/>
    <w:pPr>
      <w:keepNext w:val="1"/>
      <w:ind/>
      <w:jc w:val="center"/>
      <w:outlineLvl w:val="2"/>
    </w:pPr>
    <w:rPr>
      <w:b w:val="1"/>
      <w:sz w:val="26"/>
    </w:rPr>
  </w:style>
  <w:style w:styleId="Style_13_ch" w:type="character">
    <w:name w:val="heading 3"/>
    <w:basedOn w:val="Style_6_ch"/>
    <w:link w:val="Style_13"/>
    <w:rPr>
      <w:b w:val="1"/>
      <w:sz w:val="26"/>
    </w:rPr>
  </w:style>
  <w:style w:styleId="Style_14" w:type="paragraph">
    <w:name w:val="Balloon Text"/>
    <w:basedOn w:val="Style_6"/>
    <w:link w:val="Style_14_ch"/>
    <w:rPr>
      <w:rFonts w:ascii="Tahoma" w:hAnsi="Tahoma"/>
      <w:sz w:val="16"/>
    </w:rPr>
  </w:style>
  <w:style w:styleId="Style_14_ch" w:type="character">
    <w:name w:val="Balloon Text"/>
    <w:basedOn w:val="Style_6_ch"/>
    <w:link w:val="Style_14"/>
    <w:rPr>
      <w:rFonts w:ascii="Tahoma" w:hAnsi="Tahoma"/>
      <w:sz w:val="16"/>
    </w:rPr>
  </w:style>
  <w:style w:styleId="Style_15" w:type="paragraph">
    <w:name w:val="Гиперссылка1"/>
    <w:link w:val="Style_15_ch"/>
    <w:rPr>
      <w:color w:val="0000FF"/>
      <w:u w:val="single"/>
    </w:rPr>
  </w:style>
  <w:style w:styleId="Style_15_ch" w:type="character">
    <w:name w:val="Гиперссылка1"/>
    <w:link w:val="Style_15"/>
    <w:rPr>
      <w:color w:val="0000FF"/>
      <w:u w:val="single"/>
    </w:rPr>
  </w:style>
  <w:style w:styleId="Style_16" w:type="paragraph">
    <w:name w:val="ConsPlusNonformat"/>
    <w:link w:val="Style_16_ch"/>
    <w:rPr>
      <w:rFonts w:ascii="Courier New" w:hAnsi="Courier New"/>
    </w:rPr>
  </w:style>
  <w:style w:styleId="Style_16_ch" w:type="character">
    <w:name w:val="ConsPlusNonformat"/>
    <w:link w:val="Style_16"/>
    <w:rPr>
      <w:rFonts w:ascii="Courier New" w:hAnsi="Courier New"/>
    </w:rPr>
  </w:style>
  <w:style w:styleId="Style_17" w:type="paragraph">
    <w:name w:val="toc 3"/>
    <w:next w:val="Style_6"/>
    <w:link w:val="Style_17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7_ch" w:type="character">
    <w:name w:val="toc 3"/>
    <w:link w:val="Style_17"/>
    <w:rPr>
      <w:rFonts w:ascii="XO Thames" w:hAnsi="XO Thames"/>
      <w:sz w:val="28"/>
    </w:rPr>
  </w:style>
  <w:style w:styleId="Style_18" w:type="paragraph">
    <w:name w:val="heading 5"/>
    <w:next w:val="Style_6"/>
    <w:link w:val="Style_18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8_ch" w:type="character">
    <w:name w:val="heading 5"/>
    <w:link w:val="Style_18"/>
    <w:rPr>
      <w:rFonts w:ascii="XO Thames" w:hAnsi="XO Thames"/>
      <w:b w:val="1"/>
      <w:sz w:val="22"/>
    </w:rPr>
  </w:style>
  <w:style w:styleId="Style_19" w:type="paragraph">
    <w:name w:val="heading 1"/>
    <w:basedOn w:val="Style_6"/>
    <w:next w:val="Style_6"/>
    <w:link w:val="Style_19_ch"/>
    <w:uiPriority w:val="9"/>
    <w:qFormat/>
    <w:pPr>
      <w:spacing w:before="240"/>
      <w:ind/>
      <w:outlineLvl w:val="0"/>
    </w:pPr>
    <w:rPr>
      <w:rFonts w:ascii="Arial" w:hAnsi="Arial"/>
      <w:b w:val="1"/>
      <w:sz w:val="24"/>
      <w:u w:val="single"/>
    </w:rPr>
  </w:style>
  <w:style w:styleId="Style_19_ch" w:type="character">
    <w:name w:val="heading 1"/>
    <w:basedOn w:val="Style_6_ch"/>
    <w:link w:val="Style_19"/>
    <w:rPr>
      <w:rFonts w:ascii="Arial" w:hAnsi="Arial"/>
      <w:b w:val="1"/>
      <w:sz w:val="24"/>
      <w:u w:val="single"/>
    </w:rPr>
  </w:style>
  <w:style w:styleId="Style_20" w:type="paragraph">
    <w:name w:val="Hyperlink"/>
    <w:link w:val="Style_20_ch"/>
    <w:rPr>
      <w:color w:val="0000FF"/>
      <w:u w:val="single"/>
    </w:rPr>
  </w:style>
  <w:style w:styleId="Style_20_ch" w:type="character">
    <w:name w:val="Hyperlink"/>
    <w:link w:val="Style_20"/>
    <w:rPr>
      <w:color w:val="0000FF"/>
      <w:u w:val="single"/>
    </w:rPr>
  </w:style>
  <w:style w:styleId="Style_21" w:type="paragraph">
    <w:name w:val="Footnote"/>
    <w:link w:val="Style_21_ch"/>
    <w:pPr>
      <w:ind w:firstLine="851" w:left="0"/>
      <w:jc w:val="both"/>
    </w:pPr>
    <w:rPr>
      <w:rFonts w:ascii="XO Thames" w:hAnsi="XO Thames"/>
      <w:sz w:val="22"/>
    </w:rPr>
  </w:style>
  <w:style w:styleId="Style_21_ch" w:type="character">
    <w:name w:val="Footnote"/>
    <w:link w:val="Style_21"/>
    <w:rPr>
      <w:rFonts w:ascii="XO Thames" w:hAnsi="XO Thames"/>
      <w:sz w:val="22"/>
    </w:rPr>
  </w:style>
  <w:style w:styleId="Style_22" w:type="paragraph">
    <w:name w:val="toc 1"/>
    <w:next w:val="Style_6"/>
    <w:link w:val="Style_22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2_ch" w:type="character">
    <w:name w:val="toc 1"/>
    <w:link w:val="Style_22"/>
    <w:rPr>
      <w:rFonts w:ascii="XO Thames" w:hAnsi="XO Thames"/>
      <w:b w:val="1"/>
      <w:sz w:val="28"/>
    </w:rPr>
  </w:style>
  <w:style w:styleId="Style_23" w:type="paragraph">
    <w:name w:val="Header and Footer"/>
    <w:link w:val="Style_23_ch"/>
    <w:pPr>
      <w:spacing w:line="240" w:lineRule="auto"/>
      <w:ind/>
      <w:jc w:val="both"/>
    </w:pPr>
    <w:rPr>
      <w:rFonts w:ascii="XO Thames" w:hAnsi="XO Thames"/>
      <w:sz w:val="20"/>
    </w:rPr>
  </w:style>
  <w:style w:styleId="Style_23_ch" w:type="character">
    <w:name w:val="Header and Footer"/>
    <w:link w:val="Style_23"/>
    <w:rPr>
      <w:rFonts w:ascii="XO Thames" w:hAnsi="XO Thames"/>
      <w:sz w:val="20"/>
    </w:rPr>
  </w:style>
  <w:style w:styleId="Style_24" w:type="paragraph">
    <w:name w:val="footer"/>
    <w:basedOn w:val="Style_6"/>
    <w:link w:val="Style_24_ch"/>
    <w:pPr>
      <w:tabs>
        <w:tab w:leader="none" w:pos="4677" w:val="center"/>
        <w:tab w:leader="none" w:pos="9355" w:val="right"/>
      </w:tabs>
      <w:ind/>
    </w:pPr>
  </w:style>
  <w:style w:styleId="Style_24_ch" w:type="character">
    <w:name w:val="footer"/>
    <w:basedOn w:val="Style_6_ch"/>
    <w:link w:val="Style_24"/>
  </w:style>
  <w:style w:styleId="Style_25" w:type="paragraph">
    <w:name w:val="toc 9"/>
    <w:next w:val="Style_6"/>
    <w:link w:val="Style_25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5_ch" w:type="character">
    <w:name w:val="toc 9"/>
    <w:link w:val="Style_25"/>
    <w:rPr>
      <w:rFonts w:ascii="XO Thames" w:hAnsi="XO Thames"/>
      <w:sz w:val="28"/>
    </w:rPr>
  </w:style>
  <w:style w:styleId="Style_26" w:type="paragraph">
    <w:name w:val="Просмотренная гиперссылка1"/>
    <w:link w:val="Style_26_ch"/>
    <w:rPr>
      <w:color w:val="800080"/>
      <w:u w:val="single"/>
    </w:rPr>
  </w:style>
  <w:style w:styleId="Style_26_ch" w:type="character">
    <w:name w:val="Просмотренная гиперссылка1"/>
    <w:link w:val="Style_26"/>
    <w:rPr>
      <w:color w:val="800080"/>
      <w:u w:val="single"/>
    </w:rPr>
  </w:style>
  <w:style w:styleId="Style_1" w:type="paragraph">
    <w:name w:val="page number"/>
    <w:basedOn w:val="Style_27"/>
    <w:link w:val="Style_1_ch"/>
  </w:style>
  <w:style w:styleId="Style_1_ch" w:type="character">
    <w:name w:val="page number"/>
    <w:basedOn w:val="Style_27_ch"/>
    <w:link w:val="Style_1"/>
  </w:style>
  <w:style w:styleId="Style_28" w:type="paragraph">
    <w:name w:val="toc 8"/>
    <w:next w:val="Style_6"/>
    <w:link w:val="Style_28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8_ch" w:type="character">
    <w:name w:val="toc 8"/>
    <w:link w:val="Style_28"/>
    <w:rPr>
      <w:rFonts w:ascii="XO Thames" w:hAnsi="XO Thames"/>
      <w:sz w:val="28"/>
    </w:rPr>
  </w:style>
  <w:style w:styleId="Style_29" w:type="paragraph">
    <w:name w:val="Body Text"/>
    <w:basedOn w:val="Style_6"/>
    <w:link w:val="Style_29_ch"/>
    <w:pPr>
      <w:ind/>
      <w:jc w:val="both"/>
    </w:pPr>
    <w:rPr>
      <w:sz w:val="24"/>
    </w:rPr>
  </w:style>
  <w:style w:styleId="Style_29_ch" w:type="character">
    <w:name w:val="Body Text"/>
    <w:basedOn w:val="Style_6_ch"/>
    <w:link w:val="Style_29"/>
    <w:rPr>
      <w:sz w:val="24"/>
    </w:rPr>
  </w:style>
  <w:style w:styleId="Style_5" w:type="paragraph">
    <w:name w:val="ConsPlusNormal"/>
    <w:link w:val="Style_5_ch"/>
    <w:pPr>
      <w:widowControl w:val="0"/>
      <w:ind/>
    </w:pPr>
    <w:rPr>
      <w:rFonts w:ascii="Calibri" w:hAnsi="Calibri"/>
      <w:sz w:val="22"/>
    </w:rPr>
  </w:style>
  <w:style w:styleId="Style_5_ch" w:type="character">
    <w:name w:val="ConsPlusNormal"/>
    <w:link w:val="Style_5"/>
    <w:rPr>
      <w:rFonts w:ascii="Calibri" w:hAnsi="Calibri"/>
      <w:sz w:val="22"/>
    </w:rPr>
  </w:style>
  <w:style w:styleId="Style_27" w:type="paragraph">
    <w:name w:val="Default Paragraph Font"/>
    <w:link w:val="Style_27_ch"/>
  </w:style>
  <w:style w:styleId="Style_27_ch" w:type="character">
    <w:name w:val="Default Paragraph Font"/>
    <w:link w:val="Style_27"/>
  </w:style>
  <w:style w:styleId="Style_30" w:type="paragraph">
    <w:name w:val="toc 5"/>
    <w:next w:val="Style_6"/>
    <w:link w:val="Style_30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30_ch" w:type="character">
    <w:name w:val="toc 5"/>
    <w:link w:val="Style_30"/>
    <w:rPr>
      <w:rFonts w:ascii="XO Thames" w:hAnsi="XO Thames"/>
      <w:sz w:val="28"/>
    </w:rPr>
  </w:style>
  <w:style w:styleId="Style_31" w:type="paragraph">
    <w:name w:val="Subtitle"/>
    <w:next w:val="Style_6"/>
    <w:link w:val="Style_31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31_ch" w:type="character">
    <w:name w:val="Subtitle"/>
    <w:link w:val="Style_31"/>
    <w:rPr>
      <w:rFonts w:ascii="XO Thames" w:hAnsi="XO Thames"/>
      <w:i w:val="1"/>
      <w:sz w:val="24"/>
    </w:rPr>
  </w:style>
  <w:style w:styleId="Style_32" w:type="paragraph">
    <w:name w:val="Title"/>
    <w:next w:val="Style_6"/>
    <w:link w:val="Style_32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2_ch" w:type="character">
    <w:name w:val="Title"/>
    <w:link w:val="Style_32"/>
    <w:rPr>
      <w:rFonts w:ascii="XO Thames" w:hAnsi="XO Thames"/>
      <w:b w:val="1"/>
      <w:caps w:val="1"/>
      <w:sz w:val="40"/>
    </w:rPr>
  </w:style>
  <w:style w:styleId="Style_33" w:type="paragraph">
    <w:name w:val="heading 4"/>
    <w:next w:val="Style_6"/>
    <w:link w:val="Style_33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3_ch" w:type="character">
    <w:name w:val="heading 4"/>
    <w:link w:val="Style_33"/>
    <w:rPr>
      <w:rFonts w:ascii="XO Thames" w:hAnsi="XO Thames"/>
      <w:b w:val="1"/>
      <w:sz w:val="24"/>
    </w:rPr>
  </w:style>
  <w:style w:styleId="Style_34" w:type="paragraph">
    <w:name w:val="heading 2"/>
    <w:basedOn w:val="Style_6"/>
    <w:next w:val="Style_6"/>
    <w:link w:val="Style_34_ch"/>
    <w:uiPriority w:val="9"/>
    <w:qFormat/>
    <w:pPr>
      <w:keepNext w:val="1"/>
      <w:ind/>
      <w:jc w:val="right"/>
      <w:outlineLvl w:val="1"/>
    </w:pPr>
    <w:rPr>
      <w:b w:val="1"/>
      <w:sz w:val="24"/>
    </w:rPr>
  </w:style>
  <w:style w:styleId="Style_34_ch" w:type="character">
    <w:name w:val="heading 2"/>
    <w:basedOn w:val="Style_6_ch"/>
    <w:link w:val="Style_34"/>
    <w:rPr>
      <w:b w:val="1"/>
      <w:sz w:val="24"/>
    </w:rPr>
  </w:style>
  <w:style w:default="1" w:styleId="Style_35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4" w:type="table">
    <w:name w:val="Table Grid"/>
    <w:basedOn w:val="Style_35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WithEffects.xml" Type="http://schemas.microsoft.com/office/2007/relationships/stylesWithEffects"/>
  <Relationship Id="rId1" Target="header1.xml" Type="http://schemas.openxmlformats.org/officeDocument/2006/relationships/header"/>
  <Relationship Id="rId2" Target="footer2.xml" Type="http://schemas.openxmlformats.org/officeDocument/2006/relationships/footer"/>
  <Relationship Id="rId3" Target="fontTable.xml" Type="http://schemas.openxmlformats.org/officeDocument/2006/relationships/fontTable"/>
  <Relationship Id="rId8" Target="theme/theme1.xml" Type="http://schemas.openxmlformats.org/officeDocument/2006/relationships/theme"/>
  <Relationship Id="rId4" Target="settings.xml" Type="http://schemas.openxmlformats.org/officeDocument/2006/relationships/settings"/>
  <Relationship Id="rId9" Target="numbering.xml" Type="http://schemas.openxmlformats.org/officeDocument/2006/relationships/numbering"/>
  <Relationship Id="rId7" Target="webSettings.xml" Type="http://schemas.openxmlformats.org/officeDocument/2006/relationships/webSettings"/>
  <Relationship Id="rId5" Target="styles.xml" Type="http://schemas.openxmlformats.org/officeDocument/2006/relationships/style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MyOffice-CoreFramework-Linux/33-1224.848.9400.852.1@a485da99dcc738e8c7d147737040082c6b3f9fe8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2025-01-17T02:56:11Z</dcterms:modified>
</cp:coreProperties>
</file>